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F2CBA79"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9F0E8D" w:rsidRPr="009F0E8D">
        <w:t>9</w:t>
      </w:r>
      <w:r w:rsidR="005B0B43">
        <w:t>7</w:t>
      </w:r>
      <w:r w:rsidR="00331EE3">
        <w:t>-e</w:t>
      </w:r>
      <w:r w:rsidRPr="009F0E8D">
        <w:tab/>
      </w:r>
      <w:r w:rsidR="00D46431" w:rsidRPr="009F0E8D">
        <w:tab/>
      </w:r>
      <w:r w:rsidR="000B3353" w:rsidRPr="000B3353">
        <w:t>R4-2014888</w:t>
      </w:r>
    </w:p>
    <w:p w14:paraId="50DC9730" w14:textId="5A56395E" w:rsidR="00D309CC" w:rsidRPr="00FD166F" w:rsidRDefault="005B0B43" w:rsidP="00D46431">
      <w:pPr>
        <w:pStyle w:val="CH"/>
        <w:tabs>
          <w:tab w:val="clear" w:pos="7920"/>
        </w:tabs>
        <w:rPr>
          <w:b w:val="0"/>
        </w:rPr>
      </w:pPr>
      <w:r w:rsidRPr="005B0B43">
        <w:t>Electronic meeting, 2nd – 13th November 2020</w:t>
      </w:r>
      <w:r w:rsidR="00D46431" w:rsidRPr="009F0E8D">
        <w:tab/>
      </w:r>
    </w:p>
    <w:p w14:paraId="39A0EE25" w14:textId="77777777" w:rsidR="00D309CC" w:rsidRDefault="00D309CC" w:rsidP="00D309CC">
      <w:pPr>
        <w:tabs>
          <w:tab w:val="left" w:pos="2160"/>
        </w:tabs>
        <w:rPr>
          <w:rFonts w:ascii="Arial" w:hAnsi="Arial" w:cs="Arial"/>
          <w:b/>
        </w:rPr>
      </w:pPr>
    </w:p>
    <w:p w14:paraId="6DDCE159" w14:textId="4A7FF284" w:rsidR="00D309CC" w:rsidRPr="0008103A" w:rsidRDefault="00D309CC" w:rsidP="00D309CC">
      <w:pPr>
        <w:pStyle w:val="CH"/>
        <w:rPr>
          <w:b w:val="0"/>
        </w:rPr>
      </w:pPr>
      <w:r w:rsidRPr="0008103A">
        <w:t>Agenda item:</w:t>
      </w:r>
      <w:r>
        <w:tab/>
      </w:r>
      <w:r w:rsidR="008B5422">
        <w:t>7</w:t>
      </w:r>
      <w:r w:rsidR="00AD084F">
        <w:t>.1.1</w:t>
      </w:r>
      <w:r w:rsidR="008B5422">
        <w:t>.2</w:t>
      </w:r>
    </w:p>
    <w:p w14:paraId="4DBE005A" w14:textId="77777777" w:rsidR="00D309CC" w:rsidRPr="0008103A" w:rsidRDefault="00D309CC" w:rsidP="00D309CC">
      <w:pPr>
        <w:pStyle w:val="CH"/>
        <w:rPr>
          <w:b w:val="0"/>
        </w:rPr>
      </w:pPr>
      <w:r>
        <w:t>Source:</w:t>
      </w:r>
      <w:r>
        <w:tab/>
        <w:t>Apple Inc.</w:t>
      </w:r>
    </w:p>
    <w:p w14:paraId="0D2061A1" w14:textId="2B354A5F" w:rsidR="00D309CC" w:rsidRDefault="00D309CC" w:rsidP="005619F8">
      <w:pPr>
        <w:pStyle w:val="CH"/>
        <w:ind w:left="2268" w:hanging="2268"/>
      </w:pPr>
      <w:r w:rsidRPr="0008103A">
        <w:t>Title:</w:t>
      </w:r>
      <w:r w:rsidRPr="0008103A">
        <w:tab/>
      </w:r>
      <w:r w:rsidR="008B5422" w:rsidRPr="008B5422">
        <w:t xml:space="preserve">NR-U wideband </w:t>
      </w:r>
      <w:r w:rsidR="00551363">
        <w:t>capabilities</w:t>
      </w:r>
    </w:p>
    <w:p w14:paraId="052B1E0C" w14:textId="32C49995" w:rsidR="00104BC6" w:rsidRDefault="00104BC6" w:rsidP="00D309CC">
      <w:pPr>
        <w:pStyle w:val="CH"/>
      </w:pPr>
      <w:r>
        <w:t>WI/SI:</w:t>
      </w:r>
      <w:r>
        <w:tab/>
      </w:r>
      <w:proofErr w:type="spellStart"/>
      <w:r w:rsidR="005619F8" w:rsidRPr="005619F8">
        <w:t>NR_unlic</w:t>
      </w:r>
      <w:proofErr w:type="spellEnd"/>
    </w:p>
    <w:p w14:paraId="6C6D1281" w14:textId="182CACBE" w:rsidR="00104BC6" w:rsidRDefault="00104BC6" w:rsidP="00D309CC">
      <w:pPr>
        <w:pStyle w:val="CH"/>
        <w:rPr>
          <w:b w:val="0"/>
        </w:rPr>
      </w:pPr>
      <w:r>
        <w:t>Release:</w:t>
      </w:r>
      <w:r>
        <w:tab/>
      </w:r>
      <w:r w:rsidRPr="001729FA">
        <w:t>Rel-</w:t>
      </w:r>
      <w:r w:rsidR="001729FA" w:rsidRPr="001729FA">
        <w:t>16</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6130B09" w14:textId="33344FFC" w:rsidR="00FE4478" w:rsidRDefault="00FE4478" w:rsidP="008E7986">
      <w:r>
        <w:t xml:space="preserve">NR-U WI </w:t>
      </w:r>
      <w:r w:rsidR="00655891">
        <w:fldChar w:fldCharType="begin"/>
      </w:r>
      <w:r w:rsidR="00655891">
        <w:instrText xml:space="preserve"> REF _Ref40269250 \r \h </w:instrText>
      </w:r>
      <w:r w:rsidR="00655891">
        <w:fldChar w:fldCharType="separate"/>
      </w:r>
      <w:r w:rsidR="00655891">
        <w:t>[1]</w:t>
      </w:r>
      <w:r w:rsidR="00655891">
        <w:fldChar w:fldCharType="end"/>
      </w:r>
      <w:r w:rsidR="00655891">
        <w:t xml:space="preserve"> </w:t>
      </w:r>
      <w:r>
        <w:t xml:space="preserve">aims at specifying how the NR technology can be used on the unlicensed spectrum thus </w:t>
      </w:r>
      <w:r w:rsidR="00D9381C">
        <w:t>offering operators more resources in frequency bands, such as</w:t>
      </w:r>
      <w:r>
        <w:t xml:space="preserve"> </w:t>
      </w:r>
      <w:r w:rsidR="00441776">
        <w:t>5GHz</w:t>
      </w:r>
      <w:r w:rsidR="00D9381C">
        <w:t xml:space="preserve"> and 6GHz. Unlike licensed bands, co-existence with other technologies and systems must be ensured in unlicensed spectrum, for which a common procedure known</w:t>
      </w:r>
      <w:r w:rsidR="00441776">
        <w:t xml:space="preserve"> </w:t>
      </w:r>
      <w:r w:rsidR="00D9381C">
        <w:t xml:space="preserve">as listen-before-talk (LBT) is performed individually for every LBT sub-band of 20MHz whenever a transmission takes place. To optimise NR-U performance over larger channel bandwidths, a new feature called wide-band operation was devised, which enables larger channel bandwidths (e.g. </w:t>
      </w:r>
      <w:proofErr w:type="gramStart"/>
      <w:r w:rsidR="00D9381C">
        <w:t>40..</w:t>
      </w:r>
      <w:proofErr w:type="gramEnd"/>
      <w:r w:rsidR="00D9381C">
        <w:t xml:space="preserve">80MHz) and at the same time allows for performing the LBT procedure in </w:t>
      </w:r>
      <w:r w:rsidR="002F340B">
        <w:t xml:space="preserve">chunk of </w:t>
      </w:r>
      <w:r w:rsidR="00D9381C">
        <w:t xml:space="preserve">20MHz sub-bands. </w:t>
      </w:r>
    </w:p>
    <w:p w14:paraId="06E92CC7" w14:textId="7059AE7C" w:rsidR="008E7986" w:rsidRDefault="00655891" w:rsidP="008E7986">
      <w:r>
        <w:t xml:space="preserve">During the </w:t>
      </w:r>
      <w:r w:rsidR="00D9381C">
        <w:t xml:space="preserve">previous </w:t>
      </w:r>
      <w:r>
        <w:t>RAN</w:t>
      </w:r>
      <w:r w:rsidR="00D9381C">
        <w:t xml:space="preserve"> WG</w:t>
      </w:r>
      <w:r>
        <w:t>4 meeting</w:t>
      </w:r>
      <w:r w:rsidR="00D9381C">
        <w:t>s</w:t>
      </w:r>
      <w:r>
        <w:t xml:space="preserve">, </w:t>
      </w:r>
      <w:r w:rsidR="00D9381C">
        <w:t xml:space="preserve">some of </w:t>
      </w:r>
      <w:r w:rsidR="00DC6353">
        <w:t xml:space="preserve">the </w:t>
      </w:r>
      <w:r w:rsidR="00D9381C">
        <w:t xml:space="preserve">open questions for both wide-band operation </w:t>
      </w:r>
      <w:proofErr w:type="gramStart"/>
      <w:r w:rsidR="008B5422">
        <w:t>were</w:t>
      </w:r>
      <w:proofErr w:type="gramEnd"/>
      <w:r w:rsidR="008B5422">
        <w:t xml:space="preserve"> discussed </w:t>
      </w:r>
      <w:r w:rsidR="002F340B">
        <w:t>concerning NR-U wideband capabilities</w:t>
      </w:r>
      <w:r>
        <w:t xml:space="preserve">. </w:t>
      </w:r>
      <w:r w:rsidR="002F340B">
        <w:t xml:space="preserve">However, RAN WG4 did not reach the final conclusion which UE capabilities are needed for the NR-U operation. </w:t>
      </w:r>
      <w:r w:rsidR="00D9381C">
        <w:t>Thus, i</w:t>
      </w:r>
      <w:r>
        <w:t xml:space="preserve">n this discussion paper we </w:t>
      </w:r>
      <w:r w:rsidR="008B5422">
        <w:t>try to address those open issues</w:t>
      </w:r>
      <w:r>
        <w:t>.</w:t>
      </w:r>
      <w:r w:rsidR="00DE7963">
        <w:t xml:space="preserve"> </w:t>
      </w:r>
    </w:p>
    <w:p w14:paraId="6FCA7FDF" w14:textId="77777777" w:rsidR="00AD5712" w:rsidRDefault="00AD5712" w:rsidP="008E7986"/>
    <w:p w14:paraId="3A67921B" w14:textId="17215BFC" w:rsidR="008E7986" w:rsidRDefault="008E7986" w:rsidP="008E7986">
      <w:pPr>
        <w:pStyle w:val="Heading1"/>
      </w:pPr>
      <w:r>
        <w:t>2</w:t>
      </w:r>
      <w:r>
        <w:tab/>
      </w:r>
      <w:r w:rsidR="00D9381C">
        <w:t xml:space="preserve">Wide-band </w:t>
      </w:r>
      <w:r w:rsidR="008B5422">
        <w:t>capabilities</w:t>
      </w:r>
      <w:r w:rsidR="00D9381C">
        <w:t xml:space="preserve"> </w:t>
      </w:r>
      <w:r w:rsidR="00AD084F">
        <w:t xml:space="preserve"> </w:t>
      </w:r>
    </w:p>
    <w:p w14:paraId="4CDC1C2E" w14:textId="0399BD9E" w:rsidR="001B4D3F" w:rsidRDefault="001B4D3F" w:rsidP="001B4D3F">
      <w:pPr>
        <w:pStyle w:val="Heading2"/>
      </w:pPr>
      <w:r>
        <w:t>2.1</w:t>
      </w:r>
      <w:r>
        <w:tab/>
        <w:t>Wide-band transmission modes</w:t>
      </w:r>
    </w:p>
    <w:p w14:paraId="5F6E4152" w14:textId="071BB42F" w:rsidR="004B5392" w:rsidRDefault="004B5392" w:rsidP="00602A59">
      <w:r>
        <w:t>As mentioned in the Introduction part, wide-band operation allows for configuring a larg</w:t>
      </w:r>
      <w:r w:rsidR="005532C0">
        <w:t>e</w:t>
      </w:r>
      <w:r>
        <w:t xml:space="preserve"> channel bandwidth that spans over several 20MHz LBT sub-bands. The premise idea is that if the LBT procedure fails in one of the sub-bands, the data still can be scheduled in other sub-bands. </w:t>
      </w:r>
      <w:r w:rsidR="008B5422">
        <w:t>Furthermore</w:t>
      </w:r>
      <w:r>
        <w:t xml:space="preserve">, </w:t>
      </w:r>
      <w:r w:rsidR="00AD5712">
        <w:t xml:space="preserve">if LBT procedure passes for several </w:t>
      </w:r>
      <w:r>
        <w:t xml:space="preserve">contiguous </w:t>
      </w:r>
      <w:r w:rsidR="00AD5712">
        <w:t>sub-bands, then data can be also scheduled in intra-carrier</w:t>
      </w:r>
      <w:r>
        <w:t xml:space="preserve"> guard bands</w:t>
      </w:r>
      <w:r w:rsidR="005532C0">
        <w:t>.</w:t>
      </w:r>
      <w:r w:rsidR="00AD5712">
        <w:t xml:space="preserve"> </w:t>
      </w:r>
      <w:r>
        <w:t>Figure 1 below</w:t>
      </w:r>
      <w:r w:rsidR="00132538">
        <w:t xml:space="preserve"> presents different outcomes of the LBT procedure for the 60MHz channel. </w:t>
      </w:r>
    </w:p>
    <w:p w14:paraId="0E4A2EFF" w14:textId="3B578FFD" w:rsidR="00AD5712" w:rsidRDefault="00AD5712" w:rsidP="00AD5712">
      <w:r>
        <w:t>With regards to exemplary outcomes of the LBT procedure</w:t>
      </w:r>
      <w:r w:rsidR="005C63FF">
        <w:t>,</w:t>
      </w:r>
      <w:r>
        <w:t xml:space="preserve"> </w:t>
      </w:r>
      <w:r w:rsidR="005C63FF">
        <w:t>the following</w:t>
      </w:r>
      <w:r>
        <w:t xml:space="preserve"> wide-band transmission modes </w:t>
      </w:r>
      <w:r w:rsidR="005C63FF">
        <w:t>have been differentiated during RAN WG1 and WG4 discussions</w:t>
      </w:r>
      <w:r>
        <w:t xml:space="preserve">: </w:t>
      </w:r>
    </w:p>
    <w:p w14:paraId="4EF9AECC" w14:textId="77777777" w:rsidR="00AD5712" w:rsidRDefault="00AD5712" w:rsidP="00AD5712">
      <w:pPr>
        <w:pStyle w:val="B1"/>
      </w:pPr>
      <w:r>
        <w:t>-</w:t>
      </w:r>
      <w:r>
        <w:tab/>
        <w:t xml:space="preserve">Mode 1: This mode of operation allows for data transmission only when LBT is successful in all the LBT sub-bands (as shown in the first sub-figure on Figure 1). </w:t>
      </w:r>
    </w:p>
    <w:p w14:paraId="5BB3B0DC" w14:textId="77777777" w:rsidR="00AD5712" w:rsidRDefault="00AD5712" w:rsidP="00AD5712">
      <w:pPr>
        <w:pStyle w:val="B1"/>
      </w:pPr>
      <w:r>
        <w:t>-</w:t>
      </w:r>
      <w:r>
        <w:tab/>
        <w:t>Mode 2: This mode of operation allows for data transmission in a sub-set of LBT sub-bands which is contiguous comprising one or more LBT sub-bands. This mode is further differentiated between 2A when there is only a single scheduled LBT sub-band as shown on the second and the third sub-figure on Figure 1 or 2B when there are several contiguous sub-bands.</w:t>
      </w:r>
    </w:p>
    <w:p w14:paraId="1794BF37" w14:textId="77777777" w:rsidR="00AD5712" w:rsidRDefault="00AD5712" w:rsidP="00AD5712">
      <w:pPr>
        <w:pStyle w:val="B1"/>
      </w:pPr>
      <w:r>
        <w:t>-</w:t>
      </w:r>
      <w:r>
        <w:tab/>
        <w:t>Mode 3: This mode of operation allows for data transmission in a sub-set of LBT sub-bands which is non-contiguous (as shown on the last sub-figure on Figure 1). It should be also noted that it is applicable only to the DL direction.</w:t>
      </w:r>
    </w:p>
    <w:p w14:paraId="1479FCDF" w14:textId="77777777" w:rsidR="005C63FF" w:rsidRDefault="005C63FF" w:rsidP="00602A59"/>
    <w:p w14:paraId="1D74360C" w14:textId="3C41AFB5" w:rsidR="00AD5712" w:rsidRDefault="005C63FF" w:rsidP="00602A59">
      <w:r>
        <w:t>Furthermore, as can be seen from Figure 1, if all or contiguous sub-bands pass LBT procedures, then data can be scheduled over the corresponding sub-bands including intra-carrier guard band between them resulting in better spectrum utilisation.</w:t>
      </w:r>
    </w:p>
    <w:p w14:paraId="3A70977F" w14:textId="73426878" w:rsidR="00132538" w:rsidRDefault="00132538" w:rsidP="00132538">
      <w:pPr>
        <w:jc w:val="center"/>
      </w:pPr>
      <w:r>
        <w:rPr>
          <w:noProof/>
        </w:rPr>
        <w:lastRenderedPageBreak/>
        <w:drawing>
          <wp:inline distT="0" distB="0" distL="0" distR="0" wp14:anchorId="48E9A8B6" wp14:editId="572BACA4">
            <wp:extent cx="3038475" cy="3826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se_60.eps"/>
                    <pic:cNvPicPr/>
                  </pic:nvPicPr>
                  <pic:blipFill>
                    <a:blip r:embed="rId9">
                      <a:extLst>
                        <a:ext uri="{28A0092B-C50C-407E-A947-70E740481C1C}">
                          <a14:useLocalDpi xmlns:a14="http://schemas.microsoft.com/office/drawing/2010/main" val="0"/>
                        </a:ext>
                      </a:extLst>
                    </a:blip>
                    <a:stretch>
                      <a:fillRect/>
                    </a:stretch>
                  </pic:blipFill>
                  <pic:spPr>
                    <a:xfrm>
                      <a:off x="0" y="0"/>
                      <a:ext cx="3257456" cy="410180"/>
                    </a:xfrm>
                    <a:prstGeom prst="rect">
                      <a:avLst/>
                    </a:prstGeom>
                  </pic:spPr>
                </pic:pic>
              </a:graphicData>
            </a:graphic>
          </wp:inline>
        </w:drawing>
      </w:r>
    </w:p>
    <w:p w14:paraId="7F1263A9" w14:textId="7CDE6ABD" w:rsidR="005C5495" w:rsidRDefault="005C5495" w:rsidP="00132538">
      <w:pPr>
        <w:jc w:val="center"/>
      </w:pPr>
      <w:r>
        <w:rPr>
          <w:noProof/>
        </w:rPr>
        <w:drawing>
          <wp:inline distT="0" distB="0" distL="0" distR="0" wp14:anchorId="3CED51B0" wp14:editId="07EF4C87">
            <wp:extent cx="3057525" cy="391031"/>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ase_60_20p_40f.eps"/>
                    <pic:cNvPicPr/>
                  </pic:nvPicPr>
                  <pic:blipFill>
                    <a:blip r:embed="rId10">
                      <a:extLst>
                        <a:ext uri="{28A0092B-C50C-407E-A947-70E740481C1C}">
                          <a14:useLocalDpi xmlns:a14="http://schemas.microsoft.com/office/drawing/2010/main" val="0"/>
                        </a:ext>
                      </a:extLst>
                    </a:blip>
                    <a:stretch>
                      <a:fillRect/>
                    </a:stretch>
                  </pic:blipFill>
                  <pic:spPr>
                    <a:xfrm>
                      <a:off x="0" y="0"/>
                      <a:ext cx="3303286" cy="422462"/>
                    </a:xfrm>
                    <a:prstGeom prst="rect">
                      <a:avLst/>
                    </a:prstGeom>
                  </pic:spPr>
                </pic:pic>
              </a:graphicData>
            </a:graphic>
          </wp:inline>
        </w:drawing>
      </w:r>
    </w:p>
    <w:p w14:paraId="7BB1D29C" w14:textId="16045F18" w:rsidR="005C5495" w:rsidRDefault="005C5495" w:rsidP="00132538">
      <w:pPr>
        <w:jc w:val="center"/>
      </w:pPr>
      <w:r>
        <w:rPr>
          <w:noProof/>
        </w:rPr>
        <w:drawing>
          <wp:inline distT="0" distB="0" distL="0" distR="0" wp14:anchorId="40C0EBBE" wp14:editId="27781A2A">
            <wp:extent cx="3067050" cy="3862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ase_60_40f_20p.eps"/>
                    <pic:cNvPicPr/>
                  </pic:nvPicPr>
                  <pic:blipFill>
                    <a:blip r:embed="rId11">
                      <a:extLst>
                        <a:ext uri="{28A0092B-C50C-407E-A947-70E740481C1C}">
                          <a14:useLocalDpi xmlns:a14="http://schemas.microsoft.com/office/drawing/2010/main" val="0"/>
                        </a:ext>
                      </a:extLst>
                    </a:blip>
                    <a:stretch>
                      <a:fillRect/>
                    </a:stretch>
                  </pic:blipFill>
                  <pic:spPr>
                    <a:xfrm>
                      <a:off x="0" y="0"/>
                      <a:ext cx="3523556" cy="443686"/>
                    </a:xfrm>
                    <a:prstGeom prst="rect">
                      <a:avLst/>
                    </a:prstGeom>
                  </pic:spPr>
                </pic:pic>
              </a:graphicData>
            </a:graphic>
          </wp:inline>
        </w:drawing>
      </w:r>
    </w:p>
    <w:p w14:paraId="20F062D2" w14:textId="09B902C8" w:rsidR="004B5392" w:rsidRDefault="00132538" w:rsidP="004B5392">
      <w:pPr>
        <w:jc w:val="center"/>
      </w:pPr>
      <w:r>
        <w:rPr>
          <w:noProof/>
        </w:rPr>
        <w:drawing>
          <wp:inline distT="0" distB="0" distL="0" distR="0" wp14:anchorId="19AC660F" wp14:editId="64ED2F68">
            <wp:extent cx="3067050" cy="386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se_60_40_20.eps"/>
                    <pic:cNvPicPr/>
                  </pic:nvPicPr>
                  <pic:blipFill>
                    <a:blip r:embed="rId12">
                      <a:extLst>
                        <a:ext uri="{28A0092B-C50C-407E-A947-70E740481C1C}">
                          <a14:useLocalDpi xmlns:a14="http://schemas.microsoft.com/office/drawing/2010/main" val="0"/>
                        </a:ext>
                      </a:extLst>
                    </a:blip>
                    <a:stretch>
                      <a:fillRect/>
                    </a:stretch>
                  </pic:blipFill>
                  <pic:spPr>
                    <a:xfrm>
                      <a:off x="0" y="0"/>
                      <a:ext cx="3216121" cy="404976"/>
                    </a:xfrm>
                    <a:prstGeom prst="rect">
                      <a:avLst/>
                    </a:prstGeom>
                  </pic:spPr>
                </pic:pic>
              </a:graphicData>
            </a:graphic>
          </wp:inline>
        </w:drawing>
      </w:r>
    </w:p>
    <w:p w14:paraId="5A0C39F9" w14:textId="2E3211A6" w:rsidR="00EE40A1" w:rsidRDefault="004B5392" w:rsidP="005C5495">
      <w:pPr>
        <w:jc w:val="center"/>
      </w:pPr>
      <w:r>
        <w:rPr>
          <w:noProof/>
        </w:rPr>
        <w:drawing>
          <wp:inline distT="0" distB="0" distL="0" distR="0" wp14:anchorId="0EC790C8" wp14:editId="47290728">
            <wp:extent cx="3067050" cy="3862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se3_60_20_40.eps"/>
                    <pic:cNvPicPr/>
                  </pic:nvPicPr>
                  <pic:blipFill>
                    <a:blip r:embed="rId13">
                      <a:extLst>
                        <a:ext uri="{28A0092B-C50C-407E-A947-70E740481C1C}">
                          <a14:useLocalDpi xmlns:a14="http://schemas.microsoft.com/office/drawing/2010/main" val="0"/>
                        </a:ext>
                      </a:extLst>
                    </a:blip>
                    <a:stretch>
                      <a:fillRect/>
                    </a:stretch>
                  </pic:blipFill>
                  <pic:spPr>
                    <a:xfrm>
                      <a:off x="0" y="0"/>
                      <a:ext cx="3399740" cy="428098"/>
                    </a:xfrm>
                    <a:prstGeom prst="rect">
                      <a:avLst/>
                    </a:prstGeom>
                  </pic:spPr>
                </pic:pic>
              </a:graphicData>
            </a:graphic>
          </wp:inline>
        </w:drawing>
      </w:r>
    </w:p>
    <w:p w14:paraId="56AFE75F" w14:textId="5744F545" w:rsidR="00132538" w:rsidRDefault="00132538" w:rsidP="004B5392">
      <w:pPr>
        <w:jc w:val="center"/>
      </w:pPr>
      <w:r>
        <w:rPr>
          <w:noProof/>
        </w:rPr>
        <w:drawing>
          <wp:inline distT="0" distB="0" distL="0" distR="0" wp14:anchorId="0B823EF2" wp14:editId="2DF3EAEE">
            <wp:extent cx="3067050" cy="386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2_60_20_20_20.eps"/>
                    <pic:cNvPicPr/>
                  </pic:nvPicPr>
                  <pic:blipFill>
                    <a:blip r:embed="rId14">
                      <a:extLst>
                        <a:ext uri="{28A0092B-C50C-407E-A947-70E740481C1C}">
                          <a14:useLocalDpi xmlns:a14="http://schemas.microsoft.com/office/drawing/2010/main" val="0"/>
                        </a:ext>
                      </a:extLst>
                    </a:blip>
                    <a:stretch>
                      <a:fillRect/>
                    </a:stretch>
                  </pic:blipFill>
                  <pic:spPr>
                    <a:xfrm>
                      <a:off x="0" y="0"/>
                      <a:ext cx="3328259" cy="419096"/>
                    </a:xfrm>
                    <a:prstGeom prst="rect">
                      <a:avLst/>
                    </a:prstGeom>
                  </pic:spPr>
                </pic:pic>
              </a:graphicData>
            </a:graphic>
          </wp:inline>
        </w:drawing>
      </w:r>
    </w:p>
    <w:p w14:paraId="4581214A" w14:textId="6D559830" w:rsidR="004B5392" w:rsidRDefault="004B5392" w:rsidP="004B5392">
      <w:pPr>
        <w:pStyle w:val="TF"/>
      </w:pPr>
      <w:r>
        <w:t xml:space="preserve">Figure </w:t>
      </w:r>
      <w:r w:rsidR="00876725">
        <w:t>2.1-</w:t>
      </w:r>
      <w:r>
        <w:t xml:space="preserve">1: Exemplary </w:t>
      </w:r>
      <w:r w:rsidR="00132538">
        <w:t xml:space="preserve">outcome of LBT for </w:t>
      </w:r>
      <w:r>
        <w:t xml:space="preserve">wide-band operation </w:t>
      </w:r>
      <w:r w:rsidR="00132538">
        <w:t>over</w:t>
      </w:r>
      <w:r>
        <w:t xml:space="preserve"> 60MHz channel. </w:t>
      </w:r>
    </w:p>
    <w:p w14:paraId="5BDF32CB" w14:textId="77777777" w:rsidR="005532C0" w:rsidRDefault="00B0333C" w:rsidP="00602A59">
      <w:r>
        <w:t>In the LS from RAN WG1</w:t>
      </w:r>
      <w:r w:rsidR="00AD5712">
        <w:t xml:space="preserve"> </w:t>
      </w:r>
      <w:r w:rsidR="00AD5712">
        <w:fldChar w:fldCharType="begin"/>
      </w:r>
      <w:r w:rsidR="00AD5712">
        <w:instrText xml:space="preserve"> REF _Ref47521675 \r \h </w:instrText>
      </w:r>
      <w:r w:rsidR="00AD5712">
        <w:fldChar w:fldCharType="separate"/>
      </w:r>
      <w:r w:rsidR="00AD5712">
        <w:t>[2]</w:t>
      </w:r>
      <w:r w:rsidR="00AD5712">
        <w:fldChar w:fldCharType="end"/>
      </w:r>
      <w:r>
        <w:t xml:space="preserve">, there are several questions with regards to whether there is any difference between transmission modes from the viewpoint of the UE capabilities. In general, wide-band operation requires additional functionality and it should not be assumed that all the transmission modes can be supported with the same level of complexity. </w:t>
      </w:r>
    </w:p>
    <w:p w14:paraId="6861EF2E" w14:textId="33095D63" w:rsidR="00212AB3" w:rsidRDefault="00212AB3" w:rsidP="00212AB3">
      <w:pPr>
        <w:pStyle w:val="Heading2"/>
      </w:pPr>
      <w:r>
        <w:t>2.</w:t>
      </w:r>
      <w:r w:rsidR="001B4D3F">
        <w:t>2</w:t>
      </w:r>
      <w:r>
        <w:tab/>
        <w:t>DL wide-band capabilities</w:t>
      </w:r>
    </w:p>
    <w:p w14:paraId="1C9D98E0" w14:textId="4FA38B60" w:rsidR="00212AB3" w:rsidRDefault="00212AB3" w:rsidP="00212AB3">
      <w:r>
        <w:t>DL w</w:t>
      </w:r>
      <w:r w:rsidR="00B0333C">
        <w:t xml:space="preserve">ide-band transmission mode 1 is </w:t>
      </w:r>
      <w:r>
        <w:t xml:space="preserve">very </w:t>
      </w:r>
      <w:r w:rsidR="00B0333C">
        <w:t xml:space="preserve">close, if not identical, to data transmission on the licensed band because it </w:t>
      </w:r>
      <w:r>
        <w:t>assumes</w:t>
      </w:r>
      <w:r w:rsidR="00B0333C">
        <w:t xml:space="preserve"> </w:t>
      </w:r>
      <w:r>
        <w:t>that</w:t>
      </w:r>
      <w:r w:rsidR="00B0333C">
        <w:t xml:space="preserve"> </w:t>
      </w:r>
      <w:r>
        <w:t xml:space="preserve">all sub-bands </w:t>
      </w:r>
      <w:r w:rsidR="00B0333C">
        <w:t xml:space="preserve">passes </w:t>
      </w:r>
      <w:r>
        <w:t>the LBT procedure</w:t>
      </w:r>
      <w:r w:rsidR="00B0333C">
        <w:t xml:space="preserve">. </w:t>
      </w:r>
      <w:r>
        <w:t xml:space="preserve">In other words, the UE implementation does not have to handle a case when one of the sub-bands is "tainted" by an unpredictable transmission coming from another </w:t>
      </w:r>
      <w:proofErr w:type="spellStart"/>
      <w:r>
        <w:t>gNB</w:t>
      </w:r>
      <w:proofErr w:type="spellEnd"/>
      <w:r>
        <w:t xml:space="preserve"> or even another system. From that perspective</w:t>
      </w:r>
      <w:r w:rsidR="00B0333C">
        <w:t xml:space="preserve"> we can </w:t>
      </w:r>
      <w:r w:rsidR="005532C0">
        <w:t xml:space="preserve">potentially </w:t>
      </w:r>
      <w:r w:rsidR="00B0333C">
        <w:t xml:space="preserve">construe </w:t>
      </w:r>
      <w:r>
        <w:t xml:space="preserve">DL </w:t>
      </w:r>
      <w:r w:rsidR="00B0333C">
        <w:t>wide-band transmission mode 1 as the baseline NR-U functionality</w:t>
      </w:r>
      <w:r>
        <w:t>, i.e. if the UE supports NR-U then it shall also support wide-band transmission mode 1</w:t>
      </w:r>
      <w:r w:rsidR="00B0333C">
        <w:t xml:space="preserve">. </w:t>
      </w:r>
      <w:r>
        <w:t xml:space="preserve">On the contrary to it, DL transmission modes 2 and 3 will require additional implementation and testing efforts. Referring to the question from RAN WG1 on AGC, it is important to </w:t>
      </w:r>
      <w:r w:rsidR="008E1DFC">
        <w:t>emphasise that in mode 2 or 3 there can be in-channel</w:t>
      </w:r>
      <w:r>
        <w:t xml:space="preserve"> interfering transmission any </w:t>
      </w:r>
      <w:r w:rsidR="008E1DFC">
        <w:t xml:space="preserve">type and </w:t>
      </w:r>
      <w:r>
        <w:t>nature and coming from a different system. As the</w:t>
      </w:r>
      <w:r w:rsidRPr="00212AB3">
        <w:t xml:space="preserve"> level of interferer will be unknown, making the AGC to adapt its gain fast enough to avoid clipping</w:t>
      </w:r>
      <w:r w:rsidR="008E1DFC">
        <w:t xml:space="preserve"> might be also problematic</w:t>
      </w:r>
      <w:r w:rsidRPr="00212AB3">
        <w:t>.</w:t>
      </w:r>
      <w:r w:rsidR="00112DB5">
        <w:t xml:space="preserve"> At the same time, if a UE is capable of handling interfering transmission within the configured channel bandwidth, then it can in principle support both modes.</w:t>
      </w:r>
    </w:p>
    <w:p w14:paraId="3B94DD4F" w14:textId="0E340409" w:rsidR="00212AB3" w:rsidRDefault="00212AB3" w:rsidP="00212AB3">
      <w:pPr>
        <w:pStyle w:val="Proposal"/>
      </w:pPr>
      <w:bookmarkStart w:id="1" w:name="_Toc53323885"/>
      <w:bookmarkStart w:id="2" w:name="_Toc53324288"/>
      <w:bookmarkStart w:id="3" w:name="_Toc53326773"/>
      <w:bookmarkStart w:id="4" w:name="_Toc53692376"/>
      <w:bookmarkStart w:id="5" w:name="_Toc53692794"/>
      <w:bookmarkStart w:id="6" w:name="_Toc53693457"/>
      <w:bookmarkStart w:id="7" w:name="_Toc54179178"/>
      <w:bookmarkStart w:id="8" w:name="_Toc54180912"/>
      <w:bookmarkStart w:id="9" w:name="_Toc54284428"/>
      <w:bookmarkStart w:id="10" w:name="_Toc54383817"/>
      <w:bookmarkStart w:id="11" w:name="_Toc54384571"/>
      <w:bookmarkStart w:id="12" w:name="_Toc54384642"/>
      <w:r>
        <w:t>Proposal 1a:</w:t>
      </w:r>
      <w:r>
        <w:tab/>
        <w:t>DL wide-band mode 1 can be construed as the baseline NR-U functionality</w:t>
      </w:r>
      <w:r w:rsidR="00615F41">
        <w:t>.</w:t>
      </w:r>
      <w:bookmarkEnd w:id="12"/>
      <w:r w:rsidR="00112DB5">
        <w:t xml:space="preserve"> </w:t>
      </w:r>
      <w:bookmarkEnd w:id="1"/>
      <w:bookmarkEnd w:id="2"/>
      <w:bookmarkEnd w:id="3"/>
      <w:bookmarkEnd w:id="4"/>
      <w:bookmarkEnd w:id="5"/>
      <w:bookmarkEnd w:id="6"/>
      <w:bookmarkEnd w:id="7"/>
      <w:bookmarkEnd w:id="8"/>
      <w:bookmarkEnd w:id="9"/>
      <w:bookmarkEnd w:id="10"/>
      <w:bookmarkEnd w:id="11"/>
    </w:p>
    <w:p w14:paraId="20D036C7" w14:textId="77777777" w:rsidR="008E1DFC" w:rsidRDefault="00212AB3" w:rsidP="00212AB3">
      <w:pPr>
        <w:pStyle w:val="Proposal"/>
      </w:pPr>
      <w:bookmarkStart w:id="13" w:name="_Toc53323886"/>
      <w:bookmarkStart w:id="14" w:name="_Toc53324289"/>
      <w:bookmarkStart w:id="15" w:name="_Toc53326774"/>
      <w:bookmarkStart w:id="16" w:name="_Toc53692377"/>
      <w:bookmarkStart w:id="17" w:name="_Toc53692795"/>
      <w:bookmarkStart w:id="18" w:name="_Toc53693458"/>
      <w:bookmarkStart w:id="19" w:name="_Toc54179179"/>
      <w:bookmarkStart w:id="20" w:name="_Toc54180913"/>
      <w:bookmarkStart w:id="21" w:name="_Toc54284429"/>
      <w:bookmarkStart w:id="22" w:name="_Toc54383818"/>
      <w:bookmarkStart w:id="23" w:name="_Toc54384572"/>
      <w:bookmarkStart w:id="24" w:name="_Toc54384643"/>
      <w:r>
        <w:t>Proposal 1b:</w:t>
      </w:r>
      <w:r>
        <w:tab/>
        <w:t xml:space="preserve">DL wide-band mode 2 and 3 </w:t>
      </w:r>
      <w:r w:rsidR="00112DB5">
        <w:t>must</w:t>
      </w:r>
      <w:r>
        <w:t xml:space="preserve"> be differentiated from mode 1</w:t>
      </w:r>
      <w:r w:rsidR="008E1DFC">
        <w:t>.</w:t>
      </w:r>
      <w:bookmarkEnd w:id="22"/>
      <w:bookmarkEnd w:id="23"/>
      <w:bookmarkEnd w:id="24"/>
    </w:p>
    <w:p w14:paraId="535A6545" w14:textId="476FEB02" w:rsidR="00212AB3" w:rsidRDefault="008E1DFC" w:rsidP="00212AB3">
      <w:pPr>
        <w:pStyle w:val="Proposal"/>
      </w:pPr>
      <w:bookmarkStart w:id="25" w:name="_Toc54383819"/>
      <w:bookmarkStart w:id="26" w:name="_Toc54384573"/>
      <w:bookmarkStart w:id="27" w:name="_Toc54384644"/>
      <w:r>
        <w:t>Proposal 1c:</w:t>
      </w:r>
      <w:r>
        <w:tab/>
        <w:t xml:space="preserve">Discuss further whether DL mode 2 and 3 should have separate capabilities or </w:t>
      </w:r>
      <w:r w:rsidR="00212AB3">
        <w:t>they can be covered by the same "mode 2/3" capability.</w:t>
      </w:r>
      <w:bookmarkEnd w:id="13"/>
      <w:bookmarkEnd w:id="14"/>
      <w:bookmarkEnd w:id="15"/>
      <w:bookmarkEnd w:id="16"/>
      <w:bookmarkEnd w:id="17"/>
      <w:bookmarkEnd w:id="18"/>
      <w:bookmarkEnd w:id="19"/>
      <w:bookmarkEnd w:id="20"/>
      <w:bookmarkEnd w:id="21"/>
      <w:bookmarkEnd w:id="25"/>
      <w:bookmarkEnd w:id="26"/>
      <w:bookmarkEnd w:id="27"/>
      <w:r w:rsidR="00212AB3">
        <w:t xml:space="preserve">  </w:t>
      </w:r>
    </w:p>
    <w:p w14:paraId="7310BEAD" w14:textId="64FE9AF8" w:rsidR="00212AB3" w:rsidRDefault="00212AB3" w:rsidP="00602A59"/>
    <w:p w14:paraId="121DDD6B" w14:textId="35F95CC6" w:rsidR="00112DB5" w:rsidRDefault="00112DB5" w:rsidP="00602A59">
      <w:r>
        <w:t xml:space="preserve">Referring back to our proposals 1a and 1b, </w:t>
      </w:r>
      <w:r w:rsidR="00212AB3">
        <w:t xml:space="preserve">it is worth clarifying what happens </w:t>
      </w:r>
      <w:r>
        <w:t xml:space="preserve">to a UE, which supports only mode 1, </w:t>
      </w:r>
      <w:r w:rsidR="00212AB3">
        <w:t xml:space="preserve">if the LBT procedure succeeds </w:t>
      </w:r>
      <w:r>
        <w:t xml:space="preserve">in </w:t>
      </w:r>
      <w:r w:rsidR="00212AB3">
        <w:t>all the sub-bands</w:t>
      </w:r>
      <w:r>
        <w:t>,</w:t>
      </w:r>
      <w:r w:rsidR="00212AB3">
        <w:t xml:space="preserve"> but </w:t>
      </w:r>
      <w:proofErr w:type="spellStart"/>
      <w:r w:rsidR="00212AB3">
        <w:t>gNB</w:t>
      </w:r>
      <w:proofErr w:type="spellEnd"/>
      <w:r w:rsidR="00212AB3">
        <w:t xml:space="preserve"> decides not to schedule data in one of the sub-bands. From the viewpoint of other nodes – other </w:t>
      </w:r>
      <w:proofErr w:type="spellStart"/>
      <w:r w:rsidR="00212AB3">
        <w:t>gNBs</w:t>
      </w:r>
      <w:proofErr w:type="spellEnd"/>
      <w:r w:rsidR="00212AB3">
        <w:t xml:space="preserve"> or even WIFI devices – the corresponding sub-band is perceived as a free channel and thus it can </w:t>
      </w:r>
      <w:r>
        <w:t xml:space="preserve">become </w:t>
      </w:r>
      <w:r w:rsidR="00212AB3">
        <w:t xml:space="preserve">occupied by </w:t>
      </w:r>
      <w:r>
        <w:t xml:space="preserve">any node. </w:t>
      </w:r>
      <w:r w:rsidR="00E71789">
        <w:t>However, if</w:t>
      </w:r>
      <w:r>
        <w:t xml:space="preserve"> a UE supports only mode 1, then it will not be able to handle properly this case and the resulting performance will depend a lot on various factors.</w:t>
      </w:r>
    </w:p>
    <w:p w14:paraId="6016C420" w14:textId="078ED901" w:rsidR="00112DB5" w:rsidRDefault="00112DB5" w:rsidP="00112DB5">
      <w:pPr>
        <w:pStyle w:val="Proposal"/>
      </w:pPr>
      <w:bookmarkStart w:id="28" w:name="_Toc53323887"/>
      <w:bookmarkStart w:id="29" w:name="_Toc53324290"/>
      <w:bookmarkStart w:id="30" w:name="_Toc53326775"/>
      <w:bookmarkStart w:id="31" w:name="_Toc53692378"/>
      <w:bookmarkStart w:id="32" w:name="_Toc53692796"/>
      <w:bookmarkStart w:id="33" w:name="_Toc53693459"/>
      <w:bookmarkStart w:id="34" w:name="_Toc54179180"/>
      <w:bookmarkStart w:id="35" w:name="_Toc54180914"/>
      <w:bookmarkStart w:id="36" w:name="_Toc54284430"/>
      <w:bookmarkStart w:id="37" w:name="_Toc54383820"/>
      <w:bookmarkStart w:id="38" w:name="_Toc54384574"/>
      <w:bookmarkStart w:id="39" w:name="_Toc54384645"/>
      <w:r>
        <w:t>Proposal 1c:</w:t>
      </w:r>
      <w:r>
        <w:tab/>
        <w:t xml:space="preserve">DL wide-band mode 1 UE performance requirements apply only if sub-bands of the configured channel contain serving </w:t>
      </w:r>
      <w:proofErr w:type="spellStart"/>
      <w:r>
        <w:t>gNB</w:t>
      </w:r>
      <w:proofErr w:type="spellEnd"/>
      <w:r>
        <w:t xml:space="preserve"> transmission.</w:t>
      </w:r>
      <w:bookmarkEnd w:id="28"/>
      <w:bookmarkEnd w:id="29"/>
      <w:bookmarkEnd w:id="30"/>
      <w:bookmarkEnd w:id="31"/>
      <w:bookmarkEnd w:id="32"/>
      <w:bookmarkEnd w:id="33"/>
      <w:bookmarkEnd w:id="34"/>
      <w:bookmarkEnd w:id="35"/>
      <w:bookmarkEnd w:id="36"/>
      <w:bookmarkEnd w:id="37"/>
      <w:bookmarkEnd w:id="38"/>
      <w:bookmarkEnd w:id="39"/>
    </w:p>
    <w:p w14:paraId="3224C726" w14:textId="1955F828" w:rsidR="00212AB3" w:rsidRDefault="00112DB5" w:rsidP="00602A59">
      <w:r>
        <w:t xml:space="preserve"> </w:t>
      </w:r>
    </w:p>
    <w:p w14:paraId="55718915" w14:textId="6D90BB84" w:rsidR="00112DB5" w:rsidRDefault="00112DB5" w:rsidP="00112DB5">
      <w:pPr>
        <w:pStyle w:val="Heading2"/>
      </w:pPr>
      <w:r>
        <w:lastRenderedPageBreak/>
        <w:t>2.</w:t>
      </w:r>
      <w:r w:rsidR="001B4D3F">
        <w:t>3</w:t>
      </w:r>
      <w:r>
        <w:tab/>
        <w:t>UL wide-band capabilities</w:t>
      </w:r>
    </w:p>
    <w:p w14:paraId="6AE17D67" w14:textId="34F4E4FC" w:rsidR="000E278A" w:rsidRDefault="0000443D" w:rsidP="00602A59">
      <w:r>
        <w:t>One</w:t>
      </w:r>
      <w:r w:rsidR="00112DB5">
        <w:t xml:space="preserve"> of the open issues from the previous meeting was how to interpret</w:t>
      </w:r>
      <w:r w:rsidR="005532C0">
        <w:t xml:space="preserve"> "all-or-nothing" </w:t>
      </w:r>
      <w:r w:rsidR="00112DB5">
        <w:t>LBT outcome for the</w:t>
      </w:r>
      <w:r w:rsidR="005532C0">
        <w:t xml:space="preserve"> UL </w:t>
      </w:r>
      <w:r w:rsidR="00112DB5">
        <w:t>transmission</w:t>
      </w:r>
      <w:r w:rsidR="005532C0">
        <w:t xml:space="preserve"> in a situation when the actual data is scheduled only for a subset of the configured channel sub-bands. </w:t>
      </w:r>
      <w:r w:rsidR="000E278A">
        <w:t>I</w:t>
      </w:r>
      <w:r w:rsidR="005532C0">
        <w:t>t is not entirely clear whether transmission mode 1 assumes that a UE has to perform LBT for all the sub-bands irrespective of where it is scheduled or only for those sub-bands where UL transmission is going to take place.</w:t>
      </w:r>
      <w:r w:rsidR="000E278A">
        <w:t xml:space="preserve"> </w:t>
      </w:r>
    </w:p>
    <w:p w14:paraId="6FE24981" w14:textId="32015451" w:rsidR="005532C0" w:rsidRDefault="000E278A" w:rsidP="000E278A">
      <w:pPr>
        <w:pStyle w:val="B1"/>
      </w:pPr>
      <w:r>
        <w:t>-</w:t>
      </w:r>
      <w:r>
        <w:tab/>
        <w:t xml:space="preserve">In the first option </w:t>
      </w:r>
      <w:r w:rsidRPr="000E278A">
        <w:t xml:space="preserve">a UE has to perform LBT in all the sub-bands even though it is scheduled only in sub-bands #1 and #2 (crossed lines indicate where </w:t>
      </w:r>
      <w:r>
        <w:t>data</w:t>
      </w:r>
      <w:r w:rsidRPr="000E278A">
        <w:t xml:space="preserve"> is </w:t>
      </w:r>
      <w:r>
        <w:t>scheduled</w:t>
      </w:r>
      <w:r w:rsidRPr="000E278A">
        <w:t>). In other words, a UE will transmit data in sub-bands #1 and #2 only if all the sub-bands succeed, even though sub-band #0 does not have scheduled data for that UE</w:t>
      </w:r>
      <w:r>
        <w:t>.</w:t>
      </w:r>
      <w:r w:rsidR="00E874B5">
        <w:t xml:space="preserve"> If LBT fails in sub-band #0, the UE will not perform UL transmission.</w:t>
      </w:r>
    </w:p>
    <w:p w14:paraId="065DD6E3" w14:textId="7B2AAD82" w:rsidR="0037777C" w:rsidRDefault="00E874B5" w:rsidP="00E874B5">
      <w:pPr>
        <w:pStyle w:val="B1"/>
        <w:jc w:val="center"/>
      </w:pPr>
      <w:r>
        <w:rPr>
          <w:noProof/>
        </w:rPr>
        <w:drawing>
          <wp:inline distT="0" distB="0" distL="0" distR="0" wp14:anchorId="48AB604B" wp14:editId="3A2CA104">
            <wp:extent cx="3545840" cy="453482"/>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ode1_opt2.eps"/>
                    <pic:cNvPicPr/>
                  </pic:nvPicPr>
                  <pic:blipFill>
                    <a:blip r:embed="rId15">
                      <a:extLst>
                        <a:ext uri="{28A0092B-C50C-407E-A947-70E740481C1C}">
                          <a14:useLocalDpi xmlns:a14="http://schemas.microsoft.com/office/drawing/2010/main" val="0"/>
                        </a:ext>
                      </a:extLst>
                    </a:blip>
                    <a:stretch>
                      <a:fillRect/>
                    </a:stretch>
                  </pic:blipFill>
                  <pic:spPr>
                    <a:xfrm>
                      <a:off x="0" y="0"/>
                      <a:ext cx="3730785" cy="477135"/>
                    </a:xfrm>
                    <a:prstGeom prst="rect">
                      <a:avLst/>
                    </a:prstGeom>
                  </pic:spPr>
                </pic:pic>
              </a:graphicData>
            </a:graphic>
          </wp:inline>
        </w:drawing>
      </w:r>
    </w:p>
    <w:p w14:paraId="2F4F612B" w14:textId="45F9A153" w:rsidR="00876725" w:rsidRDefault="00876725" w:rsidP="00876725">
      <w:pPr>
        <w:pStyle w:val="TF"/>
      </w:pPr>
      <w:r>
        <w:t>Figure 2.3-1: A UE performs LBT for all sub-bands irrespective of where it has scheduled data.</w:t>
      </w:r>
    </w:p>
    <w:p w14:paraId="286063E8" w14:textId="68C973F1" w:rsidR="000E278A" w:rsidRDefault="000E278A" w:rsidP="000E278A">
      <w:pPr>
        <w:pStyle w:val="B1"/>
      </w:pPr>
      <w:r>
        <w:t>-</w:t>
      </w:r>
      <w:r>
        <w:tab/>
        <w:t xml:space="preserve">The second option </w:t>
      </w:r>
      <w:r w:rsidRPr="000E278A">
        <w:t>would be to perform LBT only in those sub-bans where data is scheduled for a UE. The figure below shows that LBT is performed only in sub-bands #1 and #2</w:t>
      </w:r>
      <w:r w:rsidR="0037777C">
        <w:t xml:space="preserve"> (crossed lines indicate sub-bands where data is scheduled).</w:t>
      </w:r>
      <w:r w:rsidRPr="000E278A">
        <w:t xml:space="preserve"> </w:t>
      </w:r>
      <w:r w:rsidR="0037777C">
        <w:t>A</w:t>
      </w:r>
      <w:r w:rsidRPr="000E278A">
        <w:t xml:space="preserve"> UE </w:t>
      </w:r>
      <w:r w:rsidR="0037777C">
        <w:t>will</w:t>
      </w:r>
      <w:r w:rsidRPr="000E278A">
        <w:t xml:space="preserve"> transmit only if LBT passes in both #1 and #2</w:t>
      </w:r>
      <w:r w:rsidR="0037777C">
        <w:t xml:space="preserve"> </w:t>
      </w:r>
      <w:r w:rsidR="00E874B5">
        <w:t xml:space="preserve">irrespective of what happens at sub-band #0 </w:t>
      </w:r>
      <w:r w:rsidR="0037777C">
        <w:t>(s</w:t>
      </w:r>
      <w:r w:rsidRPr="000E278A">
        <w:t xml:space="preserve">hould LBT fail in either #1 or #2, </w:t>
      </w:r>
      <w:r>
        <w:t>a UE will not perform UL transmission</w:t>
      </w:r>
      <w:r w:rsidR="0037777C">
        <w:t>)</w:t>
      </w:r>
      <w:r w:rsidRPr="000E278A">
        <w:t>.</w:t>
      </w:r>
    </w:p>
    <w:p w14:paraId="5F7EE9E8" w14:textId="109B6C84" w:rsidR="0037777C" w:rsidRDefault="0037777C" w:rsidP="0037777C">
      <w:pPr>
        <w:pStyle w:val="B1"/>
        <w:jc w:val="center"/>
      </w:pPr>
      <w:r>
        <w:rPr>
          <w:noProof/>
        </w:rPr>
        <w:drawing>
          <wp:inline distT="0" distB="0" distL="0" distR="0" wp14:anchorId="359EB003" wp14:editId="1057C0AB">
            <wp:extent cx="3574913" cy="457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ode1_opt1.eps"/>
                    <pic:cNvPicPr/>
                  </pic:nvPicPr>
                  <pic:blipFill>
                    <a:blip r:embed="rId16">
                      <a:extLst>
                        <a:ext uri="{28A0092B-C50C-407E-A947-70E740481C1C}">
                          <a14:useLocalDpi xmlns:a14="http://schemas.microsoft.com/office/drawing/2010/main" val="0"/>
                        </a:ext>
                      </a:extLst>
                    </a:blip>
                    <a:stretch>
                      <a:fillRect/>
                    </a:stretch>
                  </pic:blipFill>
                  <pic:spPr>
                    <a:xfrm>
                      <a:off x="0" y="0"/>
                      <a:ext cx="3717067" cy="475380"/>
                    </a:xfrm>
                    <a:prstGeom prst="rect">
                      <a:avLst/>
                    </a:prstGeom>
                  </pic:spPr>
                </pic:pic>
              </a:graphicData>
            </a:graphic>
          </wp:inline>
        </w:drawing>
      </w:r>
    </w:p>
    <w:p w14:paraId="1633D53B" w14:textId="18A948C6" w:rsidR="00AE4140" w:rsidRDefault="00876725" w:rsidP="00876725">
      <w:pPr>
        <w:pStyle w:val="TF"/>
      </w:pPr>
      <w:r>
        <w:t>Figure 2.3-2: A UE performs LBT only for those sub-bands where it has scheduled data.</w:t>
      </w:r>
    </w:p>
    <w:p w14:paraId="6CFDDFB3" w14:textId="18667CAE" w:rsidR="00AE4140" w:rsidRDefault="00AE4140" w:rsidP="00AE4140">
      <w:r>
        <w:t xml:space="preserve">Comparing both options, it is easy to see that it is more efficient to run the system when a UE performs LBT only in those sub-bands where it has scheduled data. It is not efficient, and even counter-productive, to make UE transmission dependent on a sub-band where it </w:t>
      </w:r>
      <w:r w:rsidR="002A133B">
        <w:t>does not have data</w:t>
      </w:r>
      <w:r>
        <w:t>. Considering 80MHz channel as another example, a UE may experience quite a high failure rate if it has UL data only in one sub-band but still has to perform LBT in all sub-bands. And this problem will exacerbate further for larger channel bandwidths, such as 100MHz.</w:t>
      </w:r>
    </w:p>
    <w:p w14:paraId="270C50DE" w14:textId="4C904028" w:rsidR="005532C0" w:rsidRDefault="005532C0" w:rsidP="005532C0">
      <w:pPr>
        <w:pStyle w:val="Proposal"/>
      </w:pPr>
      <w:bookmarkStart w:id="40" w:name="_Toc47700179"/>
      <w:bookmarkStart w:id="41" w:name="_Toc47700210"/>
      <w:bookmarkStart w:id="42" w:name="_Toc47700276"/>
      <w:bookmarkStart w:id="43" w:name="_Toc47700983"/>
      <w:bookmarkStart w:id="44" w:name="_Toc53160326"/>
      <w:bookmarkStart w:id="45" w:name="_Toc53323889"/>
      <w:bookmarkStart w:id="46" w:name="_Toc53324292"/>
      <w:bookmarkStart w:id="47" w:name="_Toc53326777"/>
      <w:bookmarkStart w:id="48" w:name="_Toc53692380"/>
      <w:bookmarkStart w:id="49" w:name="_Toc53692798"/>
      <w:bookmarkStart w:id="50" w:name="_Toc53693461"/>
      <w:bookmarkStart w:id="51" w:name="_Toc54179182"/>
      <w:bookmarkStart w:id="52" w:name="_Toc54180916"/>
      <w:bookmarkStart w:id="53" w:name="_Toc54284432"/>
      <w:bookmarkStart w:id="54" w:name="_Toc54383821"/>
      <w:bookmarkStart w:id="55" w:name="_Toc54384575"/>
      <w:bookmarkStart w:id="56" w:name="_Toc54384646"/>
      <w:r>
        <w:t xml:space="preserve">Proposal </w:t>
      </w:r>
      <w:r w:rsidR="00112DB5">
        <w:t>2</w:t>
      </w:r>
      <w:r w:rsidR="002634B7">
        <w:t>a</w:t>
      </w:r>
      <w:r>
        <w:t>:</w:t>
      </w:r>
      <w:r>
        <w:tab/>
      </w:r>
      <w:r w:rsidR="003A76CF">
        <w:t>A</w:t>
      </w:r>
      <w:r w:rsidR="00112DB5">
        <w:t xml:space="preserve"> </w:t>
      </w:r>
      <w:r w:rsidR="00C0487B">
        <w:t xml:space="preserve">UE </w:t>
      </w:r>
      <w:r w:rsidR="003A76CF">
        <w:t xml:space="preserve">should </w:t>
      </w:r>
      <w:r w:rsidR="00112DB5">
        <w:t>perform LBT only for those sub-bands where data is scheduled</w:t>
      </w:r>
      <w:r>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2E65D4" w14:textId="195E78B0" w:rsidR="003A76CF" w:rsidRDefault="003A76CF" w:rsidP="003A76CF">
      <w:pPr>
        <w:pStyle w:val="Proposal"/>
      </w:pPr>
      <w:bookmarkStart w:id="57" w:name="_Toc47700178"/>
      <w:bookmarkStart w:id="58" w:name="_Toc47700209"/>
      <w:bookmarkStart w:id="59" w:name="_Toc47700275"/>
      <w:bookmarkStart w:id="60" w:name="_Toc47700982"/>
      <w:bookmarkStart w:id="61" w:name="_Toc53160325"/>
      <w:bookmarkStart w:id="62" w:name="_Toc53323888"/>
      <w:bookmarkStart w:id="63" w:name="_Toc53324291"/>
      <w:bookmarkStart w:id="64" w:name="_Toc53326776"/>
      <w:bookmarkStart w:id="65" w:name="_Toc53692379"/>
      <w:bookmarkStart w:id="66" w:name="_Toc53692797"/>
      <w:bookmarkStart w:id="67" w:name="_Toc53693460"/>
      <w:bookmarkStart w:id="68" w:name="_Toc54179181"/>
      <w:bookmarkStart w:id="69" w:name="_Toc54180915"/>
      <w:bookmarkStart w:id="70" w:name="_Toc54284431"/>
      <w:bookmarkStart w:id="71" w:name="_Toc54383822"/>
      <w:bookmarkStart w:id="72" w:name="_Toc54384576"/>
      <w:bookmarkStart w:id="73" w:name="_Toc54384647"/>
      <w:r>
        <w:t>Proposal 2b:</w:t>
      </w:r>
      <w:r>
        <w:tab/>
        <w:t xml:space="preserve">If Proposal 2a is agreeable, then </w:t>
      </w:r>
      <w:r w:rsidR="00EB7A00">
        <w:t xml:space="preserve">UL </w:t>
      </w:r>
      <w:r>
        <w:t xml:space="preserve">mode 1 </w:t>
      </w:r>
      <w:r w:rsidR="00C0487B">
        <w:t xml:space="preserve">is not needed </w:t>
      </w:r>
      <w:r w:rsidR="0000443D">
        <w:t xml:space="preserve">as the UE behaviour will </w:t>
      </w:r>
      <w:r w:rsidR="008D07EC">
        <w:t xml:space="preserve">always </w:t>
      </w:r>
      <w:r w:rsidR="0000443D">
        <w:t xml:space="preserve">correspond to UL mode </w:t>
      </w:r>
      <w:r w:rsidR="008D07EC">
        <w:t>2A/</w:t>
      </w:r>
      <w:r w:rsidR="0000443D">
        <w:t>2B</w:t>
      </w:r>
      <w:r>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 xml:space="preserve">  </w:t>
      </w:r>
    </w:p>
    <w:p w14:paraId="081A05CF" w14:textId="77777777" w:rsidR="003A76CF" w:rsidRDefault="003A76CF" w:rsidP="00602A59"/>
    <w:p w14:paraId="3B3F595A" w14:textId="69F7CA1C" w:rsidR="00AD5712" w:rsidRDefault="00C72678" w:rsidP="00602A59">
      <w:r>
        <w:t xml:space="preserve">As for the UL wide-band mode 2, </w:t>
      </w:r>
      <w:r w:rsidR="008D07EC">
        <w:t>our view is that it would be preferable to have differentiation between 2A and 2B accounting for the UE LBT capabilities</w:t>
      </w:r>
      <w:r w:rsidR="000D2064">
        <w:t>.</w:t>
      </w:r>
      <w:r w:rsidR="008D07EC">
        <w:t xml:space="preserve"> Mode 2A can be viewed as the baseline NR-U capability, i.e. a UE supporting NR-U UL shall be able to support LBT at least for one sub-band. At the same time, mode 2B can be supported by those UEs who can perform LBT in all the sub-bands of the configured channel.</w:t>
      </w:r>
    </w:p>
    <w:p w14:paraId="1A0AB105" w14:textId="0242FF06" w:rsidR="005532C0" w:rsidRDefault="005532C0" w:rsidP="005532C0">
      <w:pPr>
        <w:pStyle w:val="Proposal"/>
      </w:pPr>
      <w:bookmarkStart w:id="74" w:name="_Toc40355894"/>
      <w:bookmarkStart w:id="75" w:name="_Toc40444410"/>
      <w:bookmarkStart w:id="76" w:name="_Toc47372346"/>
      <w:bookmarkStart w:id="77" w:name="_Toc47382311"/>
      <w:bookmarkStart w:id="78" w:name="_Toc47522839"/>
      <w:bookmarkStart w:id="79" w:name="_Toc47700180"/>
      <w:bookmarkStart w:id="80" w:name="_Toc47700211"/>
      <w:bookmarkStart w:id="81" w:name="_Toc47700277"/>
      <w:bookmarkStart w:id="82" w:name="_Toc47700984"/>
      <w:bookmarkStart w:id="83" w:name="_Toc53160327"/>
      <w:bookmarkStart w:id="84" w:name="_Toc53323890"/>
      <w:bookmarkStart w:id="85" w:name="_Toc53324293"/>
      <w:bookmarkStart w:id="86" w:name="_Toc53326778"/>
      <w:bookmarkStart w:id="87" w:name="_Toc53692381"/>
      <w:bookmarkStart w:id="88" w:name="_Toc53692799"/>
      <w:bookmarkStart w:id="89" w:name="_Toc53693462"/>
      <w:bookmarkStart w:id="90" w:name="_Toc54179183"/>
      <w:bookmarkStart w:id="91" w:name="_Toc54180917"/>
      <w:bookmarkStart w:id="92" w:name="_Toc54284433"/>
      <w:bookmarkStart w:id="93" w:name="_Toc54383823"/>
      <w:bookmarkStart w:id="94" w:name="_Toc54384577"/>
      <w:bookmarkStart w:id="95" w:name="_Toc54384648"/>
      <w:r w:rsidRPr="00C0487B">
        <w:t>Proposal 2</w:t>
      </w:r>
      <w:r w:rsidR="00112DB5" w:rsidRPr="00C0487B">
        <w:t>c</w:t>
      </w:r>
      <w:r w:rsidRPr="00C0487B">
        <w:t>:</w:t>
      </w:r>
      <w:r w:rsidRPr="00C0487B">
        <w:tab/>
      </w:r>
      <w:r w:rsidR="002634B7" w:rsidRPr="00C0487B">
        <w:t xml:space="preserve">It is preferable to have differentiation between </w:t>
      </w:r>
      <w:r w:rsidR="00615F41">
        <w:t xml:space="preserve">UL mode </w:t>
      </w:r>
      <w:r w:rsidR="002634B7" w:rsidRPr="00C0487B">
        <w:t>2A and 2B accounting for different UE LBT capabilities</w:t>
      </w:r>
      <w:r w:rsidRPr="00C0487B">
        <w: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FC4FB21" w14:textId="0A5BC0F1" w:rsidR="00D56A52" w:rsidRDefault="00D56A52" w:rsidP="00BE414D"/>
    <w:p w14:paraId="7D0595AB" w14:textId="19C3C2BD" w:rsidR="001416B7" w:rsidRDefault="001416B7" w:rsidP="00BE414D"/>
    <w:p w14:paraId="06129019" w14:textId="112ED4D8" w:rsidR="002A571F" w:rsidRDefault="002A571F" w:rsidP="00BE414D"/>
    <w:p w14:paraId="4CA81A11" w14:textId="67FCCF79" w:rsidR="002A571F" w:rsidRDefault="002A571F" w:rsidP="00BE414D"/>
    <w:p w14:paraId="68B031DE" w14:textId="77777777" w:rsidR="002A571F" w:rsidRDefault="002A571F" w:rsidP="00BE414D">
      <w:bookmarkStart w:id="96" w:name="_GoBack"/>
      <w:bookmarkEnd w:id="96"/>
    </w:p>
    <w:p w14:paraId="64ACD1AE" w14:textId="5BE307B9" w:rsidR="00D14C7B" w:rsidRDefault="00BE414D" w:rsidP="00BE414D">
      <w:pPr>
        <w:pStyle w:val="Heading2"/>
      </w:pPr>
      <w:r>
        <w:lastRenderedPageBreak/>
        <w:t>2.</w:t>
      </w:r>
      <w:r w:rsidR="00EA1F10">
        <w:t>4</w:t>
      </w:r>
      <w:r>
        <w:tab/>
        <w:t>Summary of DL and UL wide-band capabilities</w:t>
      </w:r>
    </w:p>
    <w:p w14:paraId="793A61D4" w14:textId="68221743" w:rsidR="00EA1F10" w:rsidRDefault="00EA1F10" w:rsidP="00BE414D">
      <w:r>
        <w:t>As a summary of our considerations presented in section 2.2 and 2.3, we suggest having the following UE capabilities for NR-U operation</w:t>
      </w:r>
      <w:r w:rsidR="001416B7">
        <w:t xml:space="preserve">: </w:t>
      </w:r>
    </w:p>
    <w:p w14:paraId="7EE35A4D" w14:textId="5CF44312" w:rsidR="001416B7" w:rsidRDefault="001416B7" w:rsidP="001416B7">
      <w:pPr>
        <w:pStyle w:val="B1"/>
      </w:pPr>
      <w:r>
        <w:t>-</w:t>
      </w:r>
      <w:r>
        <w:tab/>
        <w:t xml:space="preserve">DL transmission mode 1 (mandatory </w:t>
      </w:r>
      <w:r w:rsidR="00615F41">
        <w:t xml:space="preserve">without capability signalling </w:t>
      </w:r>
      <w:r w:rsidR="00436007">
        <w:t>if a UE supports NR-U</w:t>
      </w:r>
      <w:r>
        <w:t>);</w:t>
      </w:r>
    </w:p>
    <w:p w14:paraId="59FB0DDC" w14:textId="66B03AF0" w:rsidR="001416B7" w:rsidRDefault="001416B7" w:rsidP="001416B7">
      <w:pPr>
        <w:pStyle w:val="B1"/>
      </w:pPr>
      <w:r>
        <w:t>-</w:t>
      </w:r>
      <w:r>
        <w:tab/>
        <w:t>DL transmission mode 2</w:t>
      </w:r>
      <w:r w:rsidR="00255BF5">
        <w:t>/3</w:t>
      </w:r>
      <w:r>
        <w:t xml:space="preserve"> (optional with capability signalling</w:t>
      </w:r>
      <w:r w:rsidR="001431B5">
        <w:t xml:space="preserve"> if a UE supports NR-U</w:t>
      </w:r>
      <w:r>
        <w:t>);</w:t>
      </w:r>
    </w:p>
    <w:p w14:paraId="070EE175" w14:textId="71E48148" w:rsidR="001416B7" w:rsidRDefault="001416B7" w:rsidP="001416B7">
      <w:pPr>
        <w:pStyle w:val="B1"/>
      </w:pPr>
      <w:r>
        <w:t>-</w:t>
      </w:r>
      <w:r>
        <w:tab/>
      </w:r>
      <w:r w:rsidRPr="001416B7">
        <w:t>DL reception in intra-carrier guard</w:t>
      </w:r>
      <w:r>
        <w:t>-</w:t>
      </w:r>
      <w:r w:rsidRPr="001416B7">
        <w:t>band</w:t>
      </w:r>
      <w:r>
        <w:t xml:space="preserve"> for mode 2 and 3</w:t>
      </w:r>
      <w:r w:rsidR="00D73F34">
        <w:t xml:space="preserve"> </w:t>
      </w:r>
      <w:r>
        <w:t>(</w:t>
      </w:r>
      <w:r w:rsidR="00AC6DB6">
        <w:t>mandatory</w:t>
      </w:r>
      <w:r>
        <w:t xml:space="preserve"> with</w:t>
      </w:r>
      <w:r w:rsidR="00AC6DB6">
        <w:t>out</w:t>
      </w:r>
      <w:r>
        <w:t xml:space="preserve"> capability signalling</w:t>
      </w:r>
      <w:r w:rsidR="001431B5">
        <w:t xml:space="preserve"> if a UE supports NR-U</w:t>
      </w:r>
      <w:r w:rsidR="004B22A4">
        <w:t xml:space="preserve"> DL mode 2/3</w:t>
      </w:r>
      <w:r>
        <w:t>);</w:t>
      </w:r>
    </w:p>
    <w:p w14:paraId="3C89A80C" w14:textId="043C7E42" w:rsidR="001416B7" w:rsidRDefault="001416B7" w:rsidP="001416B7">
      <w:pPr>
        <w:pStyle w:val="B1"/>
      </w:pPr>
      <w:r>
        <w:t>-</w:t>
      </w:r>
      <w:r>
        <w:tab/>
        <w:t xml:space="preserve">UL transmission mode </w:t>
      </w:r>
      <w:r w:rsidR="002634B7">
        <w:t>2A</w:t>
      </w:r>
      <w:r>
        <w:t xml:space="preserve"> (mandatory </w:t>
      </w:r>
      <w:r w:rsidR="002634B7">
        <w:t>without</w:t>
      </w:r>
      <w:r>
        <w:t xml:space="preserve"> capability signalling</w:t>
      </w:r>
      <w:r w:rsidR="00436007">
        <w:t xml:space="preserve"> if a UE supports NR-U</w:t>
      </w:r>
      <w:r w:rsidR="001431B5">
        <w:t xml:space="preserve"> UL</w:t>
      </w:r>
      <w:r>
        <w:t>);</w:t>
      </w:r>
    </w:p>
    <w:p w14:paraId="5279699B" w14:textId="7B74889E" w:rsidR="001416B7" w:rsidRDefault="001416B7" w:rsidP="001416B7">
      <w:pPr>
        <w:pStyle w:val="B1"/>
      </w:pPr>
      <w:r>
        <w:t>-</w:t>
      </w:r>
      <w:r>
        <w:tab/>
        <w:t xml:space="preserve">UL transmission mode </w:t>
      </w:r>
      <w:r w:rsidR="002634B7">
        <w:t>2B</w:t>
      </w:r>
      <w:r>
        <w:t xml:space="preserve"> (optional with capability signalling</w:t>
      </w:r>
      <w:r w:rsidR="001431B5">
        <w:t xml:space="preserve"> if a UE supports NR-U UL</w:t>
      </w:r>
      <w:r>
        <w:t xml:space="preserve">); </w:t>
      </w:r>
    </w:p>
    <w:p w14:paraId="0582200B" w14:textId="77777777" w:rsidR="001416B7" w:rsidRDefault="001416B7" w:rsidP="001416B7">
      <w:pPr>
        <w:pStyle w:val="B1"/>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404"/>
        <w:gridCol w:w="706"/>
        <w:gridCol w:w="2413"/>
        <w:gridCol w:w="606"/>
        <w:gridCol w:w="457"/>
        <w:gridCol w:w="454"/>
        <w:gridCol w:w="655"/>
        <w:gridCol w:w="605"/>
        <w:gridCol w:w="504"/>
        <w:gridCol w:w="505"/>
        <w:gridCol w:w="806"/>
        <w:gridCol w:w="806"/>
        <w:gridCol w:w="605"/>
      </w:tblGrid>
      <w:tr w:rsidR="00654787" w:rsidRPr="00571C84" w14:paraId="39CBCBF1" w14:textId="77777777" w:rsidTr="00C0487B">
        <w:trPr>
          <w:trHeight w:val="20"/>
        </w:trPr>
        <w:tc>
          <w:tcPr>
            <w:tcW w:w="554" w:type="dxa"/>
            <w:shd w:val="clear" w:color="auto" w:fill="auto"/>
          </w:tcPr>
          <w:p w14:paraId="41EFEBC9" w14:textId="77777777" w:rsidR="00654787" w:rsidRPr="00571C84" w:rsidRDefault="00654787" w:rsidP="003D5D10">
            <w:pPr>
              <w:pStyle w:val="TAH"/>
              <w:rPr>
                <w:rFonts w:cs="Arial"/>
                <w:sz w:val="12"/>
                <w:szCs w:val="12"/>
              </w:rPr>
            </w:pPr>
            <w:r w:rsidRPr="00571C84">
              <w:rPr>
                <w:rFonts w:cs="Arial"/>
                <w:sz w:val="12"/>
                <w:szCs w:val="12"/>
              </w:rPr>
              <w:t>Features</w:t>
            </w:r>
          </w:p>
        </w:tc>
        <w:tc>
          <w:tcPr>
            <w:tcW w:w="404" w:type="dxa"/>
            <w:shd w:val="clear" w:color="auto" w:fill="auto"/>
          </w:tcPr>
          <w:p w14:paraId="2C3551CA" w14:textId="77777777" w:rsidR="00654787" w:rsidRPr="00571C84" w:rsidRDefault="00654787" w:rsidP="003D5D10">
            <w:pPr>
              <w:pStyle w:val="TAH"/>
              <w:rPr>
                <w:rFonts w:cs="Arial"/>
                <w:sz w:val="12"/>
                <w:szCs w:val="12"/>
              </w:rPr>
            </w:pPr>
            <w:r w:rsidRPr="00571C84">
              <w:rPr>
                <w:rFonts w:cs="Arial"/>
                <w:sz w:val="12"/>
                <w:szCs w:val="12"/>
              </w:rPr>
              <w:t>Index</w:t>
            </w:r>
          </w:p>
        </w:tc>
        <w:tc>
          <w:tcPr>
            <w:tcW w:w="706" w:type="dxa"/>
            <w:shd w:val="clear" w:color="auto" w:fill="auto"/>
          </w:tcPr>
          <w:p w14:paraId="148F8F12" w14:textId="77777777" w:rsidR="00654787" w:rsidRPr="00571C84" w:rsidRDefault="00654787" w:rsidP="003D5D10">
            <w:pPr>
              <w:pStyle w:val="TAH"/>
              <w:rPr>
                <w:rFonts w:cs="Arial"/>
                <w:sz w:val="12"/>
                <w:szCs w:val="12"/>
              </w:rPr>
            </w:pPr>
            <w:r w:rsidRPr="00571C84">
              <w:rPr>
                <w:rFonts w:cs="Arial"/>
                <w:sz w:val="12"/>
                <w:szCs w:val="12"/>
              </w:rPr>
              <w:t>Feature group</w:t>
            </w:r>
          </w:p>
        </w:tc>
        <w:tc>
          <w:tcPr>
            <w:tcW w:w="2413" w:type="dxa"/>
            <w:shd w:val="clear" w:color="auto" w:fill="auto"/>
          </w:tcPr>
          <w:p w14:paraId="62707376" w14:textId="77777777" w:rsidR="00654787" w:rsidRPr="00571C84" w:rsidRDefault="00654787" w:rsidP="003D5D10">
            <w:pPr>
              <w:pStyle w:val="TAH"/>
              <w:rPr>
                <w:rFonts w:eastAsiaTheme="minorEastAsia" w:cs="Arial"/>
                <w:sz w:val="12"/>
                <w:szCs w:val="12"/>
                <w:lang w:eastAsia="zh-CN"/>
              </w:rPr>
            </w:pPr>
            <w:r w:rsidRPr="00571C84">
              <w:rPr>
                <w:rFonts w:cs="Arial"/>
                <w:sz w:val="12"/>
                <w:szCs w:val="12"/>
              </w:rPr>
              <w:t>Components</w:t>
            </w:r>
          </w:p>
          <w:p w14:paraId="0F0A727A" w14:textId="77777777" w:rsidR="00654787" w:rsidRPr="00571C84" w:rsidRDefault="00654787" w:rsidP="003D5D10">
            <w:pPr>
              <w:pStyle w:val="TAH"/>
              <w:rPr>
                <w:rFonts w:eastAsiaTheme="minorEastAsia" w:cs="Arial"/>
                <w:sz w:val="12"/>
                <w:szCs w:val="12"/>
                <w:lang w:eastAsia="zh-CN"/>
              </w:rPr>
            </w:pPr>
          </w:p>
        </w:tc>
        <w:tc>
          <w:tcPr>
            <w:tcW w:w="606" w:type="dxa"/>
            <w:shd w:val="clear" w:color="auto" w:fill="auto"/>
          </w:tcPr>
          <w:p w14:paraId="1ED6686C" w14:textId="77777777" w:rsidR="00654787" w:rsidRPr="00571C84" w:rsidRDefault="00654787" w:rsidP="003D5D10">
            <w:pPr>
              <w:pStyle w:val="TAH"/>
              <w:rPr>
                <w:rFonts w:cs="Arial"/>
                <w:sz w:val="12"/>
                <w:szCs w:val="12"/>
              </w:rPr>
            </w:pPr>
            <w:r w:rsidRPr="00571C84">
              <w:rPr>
                <w:rFonts w:cs="Arial"/>
                <w:sz w:val="12"/>
                <w:szCs w:val="12"/>
              </w:rPr>
              <w:t>Prerequisite feature groups</w:t>
            </w:r>
          </w:p>
        </w:tc>
        <w:tc>
          <w:tcPr>
            <w:tcW w:w="457" w:type="dxa"/>
            <w:shd w:val="clear" w:color="auto" w:fill="auto"/>
          </w:tcPr>
          <w:p w14:paraId="2270B042" w14:textId="77777777" w:rsidR="00654787" w:rsidRPr="00571C84" w:rsidRDefault="00654787" w:rsidP="003D5D10">
            <w:pPr>
              <w:pStyle w:val="TAH"/>
              <w:rPr>
                <w:rFonts w:cs="Arial"/>
                <w:sz w:val="12"/>
                <w:szCs w:val="12"/>
              </w:rPr>
            </w:pPr>
            <w:r w:rsidRPr="00571C84">
              <w:rPr>
                <w:rFonts w:cs="Arial"/>
                <w:sz w:val="12"/>
                <w:szCs w:val="12"/>
              </w:rPr>
              <w:t xml:space="preserve">Need for the </w:t>
            </w:r>
            <w:proofErr w:type="spellStart"/>
            <w:r w:rsidRPr="00571C84">
              <w:rPr>
                <w:rFonts w:cs="Arial"/>
                <w:sz w:val="12"/>
                <w:szCs w:val="12"/>
              </w:rPr>
              <w:t>gNB</w:t>
            </w:r>
            <w:proofErr w:type="spellEnd"/>
            <w:r w:rsidRPr="00571C84">
              <w:rPr>
                <w:rFonts w:cs="Arial"/>
                <w:sz w:val="12"/>
                <w:szCs w:val="12"/>
              </w:rPr>
              <w:t xml:space="preserve"> to know if the feature is supported</w:t>
            </w:r>
          </w:p>
        </w:tc>
        <w:tc>
          <w:tcPr>
            <w:tcW w:w="454" w:type="dxa"/>
            <w:shd w:val="clear" w:color="auto" w:fill="auto"/>
          </w:tcPr>
          <w:p w14:paraId="58269038" w14:textId="77777777" w:rsidR="00654787" w:rsidRPr="00571C84" w:rsidRDefault="00654787" w:rsidP="003D5D10">
            <w:pPr>
              <w:pStyle w:val="TAH"/>
              <w:rPr>
                <w:rFonts w:cs="Arial"/>
                <w:sz w:val="12"/>
                <w:szCs w:val="12"/>
              </w:rPr>
            </w:pPr>
            <w:r w:rsidRPr="00571C84">
              <w:rPr>
                <w:rFonts w:eastAsia="Gulim" w:cs="Arial"/>
                <w:color w:val="000000" w:themeColor="text1"/>
                <w:sz w:val="12"/>
                <w:szCs w:val="12"/>
              </w:rPr>
              <w:t xml:space="preserve">Applicable to </w:t>
            </w:r>
            <w:r w:rsidRPr="00571C84">
              <w:rPr>
                <w:rFonts w:cs="Arial"/>
                <w:color w:val="000000" w:themeColor="text1"/>
                <w:sz w:val="12"/>
                <w:szCs w:val="12"/>
              </w:rPr>
              <w:t>the capability signalling exchange between UEs (V2X WI only)”.</w:t>
            </w:r>
          </w:p>
        </w:tc>
        <w:tc>
          <w:tcPr>
            <w:tcW w:w="655" w:type="dxa"/>
          </w:tcPr>
          <w:p w14:paraId="5A778FAE" w14:textId="77777777" w:rsidR="00654787" w:rsidRPr="00571C84" w:rsidRDefault="00654787" w:rsidP="003D5D10">
            <w:pPr>
              <w:pStyle w:val="TAN"/>
              <w:ind w:left="0" w:firstLine="0"/>
              <w:rPr>
                <w:rFonts w:cs="Arial"/>
                <w:b/>
                <w:sz w:val="12"/>
                <w:szCs w:val="12"/>
                <w:lang w:eastAsia="ja-JP"/>
              </w:rPr>
            </w:pPr>
            <w:r w:rsidRPr="00571C84">
              <w:rPr>
                <w:rFonts w:cs="Arial"/>
                <w:b/>
                <w:sz w:val="12"/>
                <w:szCs w:val="12"/>
                <w:lang w:eastAsia="ja-JP"/>
              </w:rPr>
              <w:t>Consequence if the feature is not supported by the UE</w:t>
            </w:r>
          </w:p>
        </w:tc>
        <w:tc>
          <w:tcPr>
            <w:tcW w:w="605" w:type="dxa"/>
            <w:shd w:val="clear" w:color="auto" w:fill="auto"/>
          </w:tcPr>
          <w:p w14:paraId="37CFF029" w14:textId="77777777" w:rsidR="00654787" w:rsidRPr="00571C84" w:rsidRDefault="00654787" w:rsidP="003D5D10">
            <w:pPr>
              <w:pStyle w:val="TAN"/>
              <w:ind w:left="0" w:firstLine="0"/>
              <w:rPr>
                <w:rFonts w:cs="Arial"/>
                <w:b/>
                <w:sz w:val="12"/>
                <w:szCs w:val="12"/>
                <w:lang w:eastAsia="ja-JP"/>
              </w:rPr>
            </w:pPr>
            <w:r w:rsidRPr="00571C84">
              <w:rPr>
                <w:rFonts w:cs="Arial"/>
                <w:b/>
                <w:sz w:val="12"/>
                <w:szCs w:val="12"/>
                <w:lang w:eastAsia="ja-JP"/>
              </w:rPr>
              <w:t>Type</w:t>
            </w:r>
          </w:p>
          <w:p w14:paraId="3F3D2897" w14:textId="77777777" w:rsidR="00654787" w:rsidRPr="00571C84" w:rsidRDefault="00654787" w:rsidP="003D5D10">
            <w:pPr>
              <w:pStyle w:val="TAN"/>
              <w:ind w:left="0" w:firstLine="0"/>
              <w:rPr>
                <w:rFonts w:cs="Arial"/>
                <w:b/>
                <w:sz w:val="12"/>
                <w:szCs w:val="12"/>
                <w:lang w:eastAsia="ja-JP"/>
              </w:rPr>
            </w:pPr>
            <w:r w:rsidRPr="00571C84">
              <w:rPr>
                <w:rFonts w:cs="Arial"/>
                <w:b/>
                <w:sz w:val="12"/>
                <w:szCs w:val="12"/>
                <w:lang w:eastAsia="ja-JP"/>
              </w:rPr>
              <w:t>(the ‘type’ definition from UE features should be based on the granularity of 1) Per UE or 2) Per Band or 3) Per BC or 4) Per FS or 5) Per FSPC)</w:t>
            </w:r>
          </w:p>
        </w:tc>
        <w:tc>
          <w:tcPr>
            <w:tcW w:w="504" w:type="dxa"/>
            <w:shd w:val="clear" w:color="auto" w:fill="auto"/>
          </w:tcPr>
          <w:p w14:paraId="284AFE93" w14:textId="77777777" w:rsidR="00654787" w:rsidRPr="00571C84" w:rsidRDefault="00654787" w:rsidP="003D5D10">
            <w:pPr>
              <w:pStyle w:val="TAH"/>
              <w:rPr>
                <w:rFonts w:cs="Arial"/>
                <w:sz w:val="12"/>
                <w:szCs w:val="12"/>
              </w:rPr>
            </w:pPr>
            <w:r w:rsidRPr="00571C84">
              <w:rPr>
                <w:rFonts w:cs="Arial"/>
                <w:sz w:val="12"/>
                <w:szCs w:val="12"/>
              </w:rPr>
              <w:t>Need of FDD/TDD differentiation</w:t>
            </w:r>
          </w:p>
        </w:tc>
        <w:tc>
          <w:tcPr>
            <w:tcW w:w="505" w:type="dxa"/>
            <w:shd w:val="clear" w:color="auto" w:fill="auto"/>
          </w:tcPr>
          <w:p w14:paraId="60151F72" w14:textId="77777777" w:rsidR="00654787" w:rsidRPr="00571C84" w:rsidRDefault="00654787" w:rsidP="003D5D10">
            <w:pPr>
              <w:pStyle w:val="TAH"/>
              <w:rPr>
                <w:rFonts w:cs="Arial"/>
                <w:sz w:val="12"/>
                <w:szCs w:val="12"/>
              </w:rPr>
            </w:pPr>
            <w:r w:rsidRPr="00571C84">
              <w:rPr>
                <w:rFonts w:cs="Arial"/>
                <w:sz w:val="12"/>
                <w:szCs w:val="12"/>
              </w:rPr>
              <w:t>Need of FR1/FR2 differentiation</w:t>
            </w:r>
          </w:p>
        </w:tc>
        <w:tc>
          <w:tcPr>
            <w:tcW w:w="806" w:type="dxa"/>
          </w:tcPr>
          <w:p w14:paraId="256454A6" w14:textId="77777777" w:rsidR="00654787" w:rsidRPr="00571C84" w:rsidRDefault="00654787" w:rsidP="003D5D10">
            <w:pPr>
              <w:pStyle w:val="TAH"/>
              <w:rPr>
                <w:rFonts w:cs="Arial"/>
                <w:sz w:val="12"/>
                <w:szCs w:val="12"/>
              </w:rPr>
            </w:pPr>
            <w:r w:rsidRPr="00571C84">
              <w:rPr>
                <w:rFonts w:cs="Arial"/>
                <w:sz w:val="12"/>
                <w:szCs w:val="12"/>
              </w:rPr>
              <w:t>Capability interpretation for mixture of FDD/TDD and/or FR1/FR2</w:t>
            </w:r>
          </w:p>
        </w:tc>
        <w:tc>
          <w:tcPr>
            <w:tcW w:w="806" w:type="dxa"/>
            <w:shd w:val="clear" w:color="auto" w:fill="auto"/>
          </w:tcPr>
          <w:p w14:paraId="15101DED" w14:textId="77777777" w:rsidR="00654787" w:rsidRPr="00571C84" w:rsidRDefault="00654787" w:rsidP="003D5D10">
            <w:pPr>
              <w:pStyle w:val="TAH"/>
              <w:rPr>
                <w:rFonts w:cs="Arial"/>
                <w:sz w:val="12"/>
                <w:szCs w:val="12"/>
              </w:rPr>
            </w:pPr>
            <w:r w:rsidRPr="00571C84">
              <w:rPr>
                <w:rFonts w:cs="Arial"/>
                <w:sz w:val="12"/>
                <w:szCs w:val="12"/>
              </w:rPr>
              <w:t>Note</w:t>
            </w:r>
          </w:p>
        </w:tc>
        <w:tc>
          <w:tcPr>
            <w:tcW w:w="605" w:type="dxa"/>
            <w:shd w:val="clear" w:color="auto" w:fill="auto"/>
          </w:tcPr>
          <w:p w14:paraId="2658DABA" w14:textId="77777777" w:rsidR="00654787" w:rsidRPr="00571C84" w:rsidRDefault="00654787" w:rsidP="003D5D10">
            <w:pPr>
              <w:pStyle w:val="TAH"/>
              <w:rPr>
                <w:rFonts w:cs="Arial"/>
                <w:sz w:val="12"/>
                <w:szCs w:val="12"/>
              </w:rPr>
            </w:pPr>
            <w:r w:rsidRPr="00571C84">
              <w:rPr>
                <w:rFonts w:cs="Arial"/>
                <w:sz w:val="12"/>
                <w:szCs w:val="12"/>
              </w:rPr>
              <w:t>Mandatory/Optional</w:t>
            </w:r>
          </w:p>
        </w:tc>
      </w:tr>
      <w:tr w:rsidR="00654787" w:rsidRPr="00571C84" w14:paraId="49741C3D" w14:textId="77777777" w:rsidTr="00C0487B">
        <w:trPr>
          <w:trHeight w:val="20"/>
        </w:trPr>
        <w:tc>
          <w:tcPr>
            <w:tcW w:w="554" w:type="dxa"/>
            <w:shd w:val="clear" w:color="auto" w:fill="auto"/>
          </w:tcPr>
          <w:p w14:paraId="27E2FC98" w14:textId="77777777" w:rsidR="00654787" w:rsidRPr="00571C84" w:rsidRDefault="00654787" w:rsidP="00654787">
            <w:pPr>
              <w:pStyle w:val="TAL"/>
              <w:rPr>
                <w:rFonts w:cs="Arial"/>
                <w:color w:val="FF0000"/>
                <w:sz w:val="12"/>
                <w:szCs w:val="12"/>
                <w:u w:val="single"/>
                <w:lang w:eastAsia="ja-JP"/>
              </w:rPr>
            </w:pPr>
          </w:p>
        </w:tc>
        <w:tc>
          <w:tcPr>
            <w:tcW w:w="404" w:type="dxa"/>
            <w:shd w:val="clear" w:color="auto" w:fill="auto"/>
          </w:tcPr>
          <w:p w14:paraId="4A010BDD" w14:textId="71FE2B6A"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4-x</w:t>
            </w:r>
            <w:r w:rsidR="00612B57" w:rsidRPr="00571C84">
              <w:rPr>
                <w:rFonts w:cs="Arial"/>
                <w:color w:val="FF0000"/>
                <w:sz w:val="12"/>
                <w:szCs w:val="12"/>
                <w:u w:val="single"/>
                <w:lang w:eastAsia="ja-JP"/>
              </w:rPr>
              <w:t>1</w:t>
            </w:r>
          </w:p>
        </w:tc>
        <w:tc>
          <w:tcPr>
            <w:tcW w:w="706" w:type="dxa"/>
            <w:shd w:val="clear" w:color="auto" w:fill="auto"/>
          </w:tcPr>
          <w:p w14:paraId="2531036A" w14:textId="30A6F64A"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val="en-US"/>
              </w:rPr>
              <w:t>DL wideband carrier operation mode 1</w:t>
            </w:r>
          </w:p>
        </w:tc>
        <w:tc>
          <w:tcPr>
            <w:tcW w:w="2413" w:type="dxa"/>
            <w:shd w:val="clear" w:color="auto" w:fill="auto"/>
          </w:tcPr>
          <w:p w14:paraId="645CC316" w14:textId="255F6807" w:rsidR="00654787" w:rsidRPr="00571C84" w:rsidRDefault="00654787" w:rsidP="00654787">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1: single carrier wideband operation when LBT is successful in all </w:t>
            </w:r>
            <w:r w:rsidR="00C0487B" w:rsidRPr="00C0487B">
              <w:rPr>
                <w:rFonts w:ascii="Arial" w:hAnsi="Arial" w:cs="Arial"/>
                <w:color w:val="FF0000"/>
                <w:sz w:val="12"/>
                <w:szCs w:val="12"/>
                <w:highlight w:val="yellow"/>
                <w:u w:val="single"/>
              </w:rPr>
              <w:t>configured</w:t>
            </w:r>
            <w:r w:rsidR="00C0487B">
              <w:rPr>
                <w:rFonts w:ascii="Arial" w:hAnsi="Arial" w:cs="Arial"/>
                <w:color w:val="FF0000"/>
                <w:sz w:val="12"/>
                <w:szCs w:val="12"/>
                <w:u w:val="single"/>
              </w:rPr>
              <w:t xml:space="preserve"> </w:t>
            </w:r>
            <w:r w:rsidRPr="00571C84">
              <w:rPr>
                <w:rFonts w:ascii="Arial" w:hAnsi="Arial" w:cs="Arial"/>
                <w:color w:val="FF0000"/>
                <w:sz w:val="12"/>
                <w:szCs w:val="12"/>
                <w:u w:val="single"/>
              </w:rPr>
              <w:t>LBT sub-bands</w:t>
            </w:r>
            <w:r w:rsidR="00C0487B">
              <w:rPr>
                <w:rFonts w:ascii="Arial" w:hAnsi="Arial" w:cs="Arial"/>
                <w:color w:val="FF0000"/>
                <w:sz w:val="12"/>
                <w:szCs w:val="12"/>
                <w:u w:val="single"/>
              </w:rPr>
              <w:t xml:space="preserve"> of the active BWP</w:t>
            </w:r>
            <w:r w:rsidRPr="00571C84">
              <w:rPr>
                <w:rFonts w:ascii="Arial" w:hAnsi="Arial" w:cs="Arial"/>
                <w:color w:val="FF0000"/>
                <w:sz w:val="12"/>
                <w:szCs w:val="12"/>
                <w:u w:val="single"/>
              </w:rPr>
              <w:t xml:space="preserve">. </w:t>
            </w:r>
          </w:p>
        </w:tc>
        <w:tc>
          <w:tcPr>
            <w:tcW w:w="606" w:type="dxa"/>
            <w:shd w:val="clear" w:color="auto" w:fill="auto"/>
          </w:tcPr>
          <w:p w14:paraId="55B50B11" w14:textId="230249C7"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1D76707B" w14:textId="61A4FBDD" w:rsidR="00654787" w:rsidRPr="00571C84" w:rsidRDefault="00654787" w:rsidP="00654787">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63C5E856" w14:textId="590D07E7"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3A6F1A49" w14:textId="77777777" w:rsidR="00654787" w:rsidRPr="00571C84" w:rsidRDefault="00654787" w:rsidP="00654787">
            <w:pPr>
              <w:pStyle w:val="TAL"/>
              <w:rPr>
                <w:rFonts w:cs="Arial"/>
                <w:color w:val="FF0000"/>
                <w:sz w:val="12"/>
                <w:szCs w:val="12"/>
                <w:u w:val="single"/>
                <w:lang w:val="en-US" w:eastAsia="ja-JP"/>
              </w:rPr>
            </w:pPr>
          </w:p>
        </w:tc>
        <w:tc>
          <w:tcPr>
            <w:tcW w:w="605" w:type="dxa"/>
            <w:shd w:val="clear" w:color="auto" w:fill="auto"/>
          </w:tcPr>
          <w:p w14:paraId="535043B3" w14:textId="10E71A23"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49421A6B" w14:textId="426E0443"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07FC6666" w14:textId="71CF3105"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78F0FD44" w14:textId="34988826" w:rsidR="00654787" w:rsidRPr="00571C84" w:rsidRDefault="00654787" w:rsidP="00654787">
            <w:pPr>
              <w:pStyle w:val="TAL"/>
              <w:rPr>
                <w:rFonts w:cs="Arial"/>
                <w:color w:val="FF0000"/>
                <w:sz w:val="12"/>
                <w:szCs w:val="12"/>
                <w:u w:val="single"/>
              </w:rPr>
            </w:pPr>
          </w:p>
        </w:tc>
        <w:tc>
          <w:tcPr>
            <w:tcW w:w="806" w:type="dxa"/>
            <w:shd w:val="clear" w:color="auto" w:fill="auto"/>
          </w:tcPr>
          <w:p w14:paraId="50310BF8" w14:textId="77777777" w:rsidR="00654787" w:rsidRPr="00571C84" w:rsidRDefault="00654787" w:rsidP="00654787">
            <w:pPr>
              <w:pStyle w:val="TAL"/>
              <w:rPr>
                <w:rFonts w:cs="Arial"/>
                <w:color w:val="FF0000"/>
                <w:sz w:val="12"/>
                <w:szCs w:val="12"/>
                <w:u w:val="single"/>
              </w:rPr>
            </w:pPr>
          </w:p>
        </w:tc>
        <w:tc>
          <w:tcPr>
            <w:tcW w:w="605" w:type="dxa"/>
            <w:shd w:val="clear" w:color="auto" w:fill="auto"/>
          </w:tcPr>
          <w:p w14:paraId="04A50316" w14:textId="48911EE6" w:rsidR="00654787" w:rsidRPr="00571C84" w:rsidRDefault="00654787" w:rsidP="00654787">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 xml:space="preserve">Mandatory </w:t>
            </w:r>
            <w:r w:rsidR="00C0487B">
              <w:rPr>
                <w:rFonts w:eastAsia="SimSun" w:cs="Arial"/>
                <w:color w:val="FF0000"/>
                <w:sz w:val="12"/>
                <w:szCs w:val="12"/>
                <w:u w:val="single"/>
                <w:lang w:eastAsia="zh-CN"/>
              </w:rPr>
              <w:t>with</w:t>
            </w:r>
            <w:r w:rsidR="008D07EC">
              <w:rPr>
                <w:rFonts w:eastAsia="SimSun" w:cs="Arial"/>
                <w:color w:val="FF0000"/>
                <w:sz w:val="12"/>
                <w:szCs w:val="12"/>
                <w:u w:val="single"/>
                <w:lang w:eastAsia="zh-CN"/>
              </w:rPr>
              <w:t>out</w:t>
            </w:r>
            <w:r w:rsidRPr="00571C84">
              <w:rPr>
                <w:rFonts w:eastAsia="SimSun" w:cs="Arial"/>
                <w:color w:val="FF0000"/>
                <w:sz w:val="12"/>
                <w:szCs w:val="12"/>
                <w:u w:val="single"/>
                <w:lang w:eastAsia="zh-CN"/>
              </w:rPr>
              <w:t xml:space="preserve"> capability signalling</w:t>
            </w:r>
          </w:p>
        </w:tc>
      </w:tr>
      <w:tr w:rsidR="00654787" w:rsidRPr="00571C84" w14:paraId="4F9F62DD" w14:textId="77777777" w:rsidTr="00C0487B">
        <w:trPr>
          <w:trHeight w:val="20"/>
        </w:trPr>
        <w:tc>
          <w:tcPr>
            <w:tcW w:w="554" w:type="dxa"/>
            <w:shd w:val="clear" w:color="auto" w:fill="auto"/>
          </w:tcPr>
          <w:p w14:paraId="67881A67" w14:textId="77777777" w:rsidR="00654787" w:rsidRPr="00571C84" w:rsidRDefault="00654787" w:rsidP="00654787">
            <w:pPr>
              <w:pStyle w:val="TAL"/>
              <w:rPr>
                <w:rFonts w:cs="Arial"/>
                <w:color w:val="FF0000"/>
                <w:sz w:val="12"/>
                <w:szCs w:val="12"/>
                <w:u w:val="single"/>
                <w:lang w:eastAsia="ja-JP"/>
              </w:rPr>
            </w:pPr>
          </w:p>
        </w:tc>
        <w:tc>
          <w:tcPr>
            <w:tcW w:w="404" w:type="dxa"/>
            <w:shd w:val="clear" w:color="auto" w:fill="auto"/>
          </w:tcPr>
          <w:p w14:paraId="6B69CA51" w14:textId="12979BAD"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4-</w:t>
            </w:r>
            <w:r w:rsidR="00612B57" w:rsidRPr="00571C84">
              <w:rPr>
                <w:rFonts w:cs="Arial"/>
                <w:color w:val="FF0000"/>
                <w:sz w:val="12"/>
                <w:szCs w:val="12"/>
                <w:u w:val="single"/>
                <w:lang w:eastAsia="ja-JP"/>
              </w:rPr>
              <w:t>x2</w:t>
            </w:r>
          </w:p>
        </w:tc>
        <w:tc>
          <w:tcPr>
            <w:tcW w:w="706" w:type="dxa"/>
            <w:shd w:val="clear" w:color="auto" w:fill="auto"/>
          </w:tcPr>
          <w:p w14:paraId="54836AA7" w14:textId="3311C379" w:rsidR="00654787" w:rsidRPr="00571C84" w:rsidRDefault="00654787" w:rsidP="00654787">
            <w:pPr>
              <w:pStyle w:val="TAL"/>
              <w:rPr>
                <w:rFonts w:cs="Arial"/>
                <w:color w:val="FF0000"/>
                <w:sz w:val="12"/>
                <w:szCs w:val="12"/>
                <w:u w:val="single"/>
                <w:lang w:val="en-US"/>
              </w:rPr>
            </w:pPr>
            <w:r w:rsidRPr="00571C84">
              <w:rPr>
                <w:rFonts w:cs="Arial"/>
                <w:color w:val="FF0000"/>
                <w:sz w:val="12"/>
                <w:szCs w:val="12"/>
                <w:u w:val="single"/>
                <w:lang w:val="en-US"/>
              </w:rPr>
              <w:t xml:space="preserve">DL wideband carrier operation mode </w:t>
            </w:r>
            <w:r w:rsidR="001431B5">
              <w:rPr>
                <w:rFonts w:cs="Arial"/>
                <w:color w:val="FF0000"/>
                <w:sz w:val="12"/>
                <w:szCs w:val="12"/>
                <w:u w:val="single"/>
                <w:lang w:val="en-US"/>
              </w:rPr>
              <w:t>2</w:t>
            </w:r>
            <w:r w:rsidR="00255BF5">
              <w:rPr>
                <w:rFonts w:cs="Arial"/>
                <w:color w:val="FF0000"/>
                <w:sz w:val="12"/>
                <w:szCs w:val="12"/>
                <w:u w:val="single"/>
                <w:lang w:val="en-US"/>
              </w:rPr>
              <w:t xml:space="preserve"> and 3</w:t>
            </w:r>
            <w:r w:rsidRPr="00571C84">
              <w:rPr>
                <w:rFonts w:cs="Arial"/>
                <w:color w:val="FF0000"/>
                <w:sz w:val="12"/>
                <w:szCs w:val="12"/>
                <w:u w:val="single"/>
                <w:lang w:val="en-US"/>
              </w:rPr>
              <w:t xml:space="preserve"> </w:t>
            </w:r>
          </w:p>
        </w:tc>
        <w:tc>
          <w:tcPr>
            <w:tcW w:w="2413" w:type="dxa"/>
            <w:shd w:val="clear" w:color="auto" w:fill="auto"/>
          </w:tcPr>
          <w:p w14:paraId="509F71CB" w14:textId="187AC7DE" w:rsidR="00654787" w:rsidRPr="00571C84" w:rsidRDefault="00654787" w:rsidP="00654787">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DL wideband carrier operation mode 2: single wideband carrier when LBT is successful in a subset of the </w:t>
            </w:r>
            <w:r w:rsidR="00C0487B">
              <w:rPr>
                <w:rFonts w:ascii="Arial" w:hAnsi="Arial" w:cs="Arial"/>
                <w:color w:val="FF0000"/>
                <w:sz w:val="12"/>
                <w:szCs w:val="12"/>
                <w:u w:val="single"/>
              </w:rPr>
              <w:t xml:space="preserve">configured </w:t>
            </w:r>
            <w:r w:rsidRPr="00571C84">
              <w:rPr>
                <w:rFonts w:ascii="Arial" w:hAnsi="Arial" w:cs="Arial"/>
                <w:color w:val="FF0000"/>
                <w:sz w:val="12"/>
                <w:szCs w:val="12"/>
                <w:u w:val="single"/>
              </w:rPr>
              <w:t>LBT sub-bands</w:t>
            </w:r>
            <w:r w:rsidR="00C0487B">
              <w:rPr>
                <w:rFonts w:ascii="Arial" w:hAnsi="Arial" w:cs="Arial"/>
                <w:color w:val="FF0000"/>
                <w:sz w:val="12"/>
                <w:szCs w:val="12"/>
                <w:u w:val="single"/>
              </w:rPr>
              <w:t>,</w:t>
            </w:r>
            <w:r w:rsidRPr="00571C84">
              <w:rPr>
                <w:rFonts w:ascii="Arial" w:hAnsi="Arial" w:cs="Arial"/>
                <w:color w:val="FF0000"/>
                <w:sz w:val="12"/>
                <w:szCs w:val="12"/>
                <w:u w:val="single"/>
              </w:rPr>
              <w:t xml:space="preserve"> which are </w:t>
            </w:r>
            <w:r w:rsidR="00255BF5">
              <w:rPr>
                <w:rFonts w:ascii="Arial" w:hAnsi="Arial" w:cs="Arial"/>
                <w:color w:val="FF0000"/>
                <w:sz w:val="12"/>
                <w:szCs w:val="12"/>
                <w:u w:val="single"/>
              </w:rPr>
              <w:t xml:space="preserve">either </w:t>
            </w:r>
            <w:r w:rsidRPr="00571C84">
              <w:rPr>
                <w:rFonts w:ascii="Arial" w:hAnsi="Arial" w:cs="Arial"/>
                <w:color w:val="FF0000"/>
                <w:sz w:val="12"/>
                <w:szCs w:val="12"/>
                <w:u w:val="single"/>
              </w:rPr>
              <w:t>contiguous</w:t>
            </w:r>
            <w:r w:rsidR="00255BF5">
              <w:rPr>
                <w:rFonts w:ascii="Arial" w:hAnsi="Arial" w:cs="Arial"/>
                <w:color w:val="FF0000"/>
                <w:sz w:val="12"/>
                <w:szCs w:val="12"/>
                <w:u w:val="single"/>
              </w:rPr>
              <w:t xml:space="preserve"> or non-contiguous</w:t>
            </w:r>
            <w:r w:rsidR="00C0487B">
              <w:rPr>
                <w:rFonts w:ascii="Arial" w:hAnsi="Arial" w:cs="Arial"/>
                <w:color w:val="FF0000"/>
                <w:sz w:val="12"/>
                <w:szCs w:val="12"/>
                <w:u w:val="single"/>
              </w:rPr>
              <w:t>,</w:t>
            </w:r>
            <w:r w:rsidRPr="00571C84">
              <w:rPr>
                <w:rFonts w:ascii="Arial" w:hAnsi="Arial" w:cs="Arial"/>
                <w:color w:val="FF0000"/>
                <w:sz w:val="12"/>
                <w:szCs w:val="12"/>
                <w:u w:val="single"/>
              </w:rPr>
              <w:t xml:space="preserve"> </w:t>
            </w:r>
            <w:r w:rsidR="00C0487B">
              <w:rPr>
                <w:rFonts w:ascii="Arial" w:hAnsi="Arial" w:cs="Arial"/>
                <w:color w:val="FF0000"/>
                <w:sz w:val="12"/>
                <w:szCs w:val="12"/>
                <w:u w:val="single"/>
              </w:rPr>
              <w:t>of the active BWP</w:t>
            </w:r>
            <w:r w:rsidRPr="00571C84">
              <w:rPr>
                <w:rFonts w:ascii="Arial" w:hAnsi="Arial" w:cs="Arial"/>
                <w:color w:val="FF0000"/>
                <w:sz w:val="12"/>
                <w:szCs w:val="12"/>
                <w:u w:val="single"/>
              </w:rPr>
              <w:t>.</w:t>
            </w:r>
          </w:p>
        </w:tc>
        <w:tc>
          <w:tcPr>
            <w:tcW w:w="606" w:type="dxa"/>
            <w:shd w:val="clear" w:color="auto" w:fill="auto"/>
          </w:tcPr>
          <w:p w14:paraId="0FDD4C85" w14:textId="4D4FA028"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37CD40A4" w14:textId="08ACBAC1" w:rsidR="00654787" w:rsidRPr="00571C84" w:rsidRDefault="00654787" w:rsidP="00654787">
            <w:pPr>
              <w:pStyle w:val="TAL"/>
              <w:rPr>
                <w:rFonts w:eastAsia="MS Mincho" w:cs="Arial"/>
                <w:iCs/>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5835A181" w14:textId="65853422"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1C81A81C" w14:textId="77777777" w:rsidR="00654787" w:rsidRPr="00571C84" w:rsidRDefault="00654787" w:rsidP="00654787">
            <w:pPr>
              <w:pStyle w:val="TAL"/>
              <w:rPr>
                <w:rFonts w:cs="Arial"/>
                <w:color w:val="FF0000"/>
                <w:sz w:val="12"/>
                <w:szCs w:val="12"/>
                <w:u w:val="single"/>
                <w:lang w:val="en-US" w:eastAsia="ja-JP"/>
              </w:rPr>
            </w:pPr>
          </w:p>
        </w:tc>
        <w:tc>
          <w:tcPr>
            <w:tcW w:w="605" w:type="dxa"/>
            <w:shd w:val="clear" w:color="auto" w:fill="auto"/>
          </w:tcPr>
          <w:p w14:paraId="351AF045" w14:textId="422DFB21"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65806673" w14:textId="790807B6"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09E72C63" w14:textId="441CD272" w:rsidR="00654787" w:rsidRPr="00571C84" w:rsidRDefault="00654787" w:rsidP="0065478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049E86F1" w14:textId="77777777" w:rsidR="00654787" w:rsidRPr="00571C84" w:rsidRDefault="00654787" w:rsidP="00654787">
            <w:pPr>
              <w:pStyle w:val="TAL"/>
              <w:rPr>
                <w:rFonts w:cs="Arial"/>
                <w:color w:val="FF0000"/>
                <w:sz w:val="12"/>
                <w:szCs w:val="12"/>
                <w:u w:val="single"/>
              </w:rPr>
            </w:pPr>
          </w:p>
        </w:tc>
        <w:tc>
          <w:tcPr>
            <w:tcW w:w="806" w:type="dxa"/>
            <w:shd w:val="clear" w:color="auto" w:fill="auto"/>
          </w:tcPr>
          <w:p w14:paraId="50AB8F23" w14:textId="77777777" w:rsidR="00654787" w:rsidRPr="00571C84" w:rsidRDefault="00654787" w:rsidP="00654787">
            <w:pPr>
              <w:pStyle w:val="TAL"/>
              <w:rPr>
                <w:rFonts w:cs="Arial"/>
                <w:color w:val="FF0000"/>
                <w:sz w:val="12"/>
                <w:szCs w:val="12"/>
                <w:u w:val="single"/>
              </w:rPr>
            </w:pPr>
          </w:p>
        </w:tc>
        <w:tc>
          <w:tcPr>
            <w:tcW w:w="605" w:type="dxa"/>
            <w:shd w:val="clear" w:color="auto" w:fill="auto"/>
          </w:tcPr>
          <w:p w14:paraId="609F0568" w14:textId="648CFED1" w:rsidR="00654787" w:rsidRPr="00571C84" w:rsidRDefault="00654787" w:rsidP="00654787">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r w:rsidR="00654787" w:rsidRPr="00571C84" w14:paraId="663335BA" w14:textId="77777777" w:rsidTr="00C0487B">
        <w:trPr>
          <w:trHeight w:val="20"/>
        </w:trPr>
        <w:tc>
          <w:tcPr>
            <w:tcW w:w="554" w:type="dxa"/>
            <w:shd w:val="clear" w:color="auto" w:fill="auto"/>
          </w:tcPr>
          <w:p w14:paraId="5A5BA322" w14:textId="77777777" w:rsidR="00654787" w:rsidRPr="00571C84" w:rsidRDefault="00654787" w:rsidP="00654787">
            <w:pPr>
              <w:pStyle w:val="TAL"/>
              <w:rPr>
                <w:rFonts w:cs="Arial"/>
                <w:sz w:val="12"/>
                <w:szCs w:val="12"/>
                <w:lang w:eastAsia="ja-JP"/>
              </w:rPr>
            </w:pPr>
          </w:p>
        </w:tc>
        <w:tc>
          <w:tcPr>
            <w:tcW w:w="404" w:type="dxa"/>
            <w:shd w:val="clear" w:color="auto" w:fill="auto"/>
          </w:tcPr>
          <w:p w14:paraId="088E2D3E" w14:textId="77777777" w:rsidR="00654787" w:rsidRPr="00571C84" w:rsidRDefault="00654787" w:rsidP="00654787">
            <w:pPr>
              <w:pStyle w:val="TAL"/>
              <w:rPr>
                <w:rFonts w:cs="Arial"/>
                <w:sz w:val="12"/>
                <w:szCs w:val="12"/>
                <w:highlight w:val="yellow"/>
                <w:lang w:eastAsia="zh-CN"/>
              </w:rPr>
            </w:pPr>
            <w:r w:rsidRPr="00571C84">
              <w:rPr>
                <w:rFonts w:cs="Arial"/>
                <w:sz w:val="12"/>
                <w:szCs w:val="12"/>
                <w:lang w:eastAsia="ja-JP"/>
              </w:rPr>
              <w:t>4-</w:t>
            </w:r>
            <w:r w:rsidRPr="00571C84">
              <w:rPr>
                <w:rFonts w:cs="Arial" w:hint="eastAsia"/>
                <w:sz w:val="12"/>
                <w:szCs w:val="12"/>
                <w:lang w:eastAsia="zh-CN"/>
              </w:rPr>
              <w:t>1</w:t>
            </w:r>
          </w:p>
        </w:tc>
        <w:tc>
          <w:tcPr>
            <w:tcW w:w="706" w:type="dxa"/>
            <w:shd w:val="clear" w:color="auto" w:fill="auto"/>
          </w:tcPr>
          <w:p w14:paraId="516A477D" w14:textId="4C4E5153" w:rsidR="00654787" w:rsidRPr="00571C84" w:rsidRDefault="00654787" w:rsidP="00654787">
            <w:pPr>
              <w:pStyle w:val="TAL"/>
              <w:rPr>
                <w:rFonts w:cs="Arial"/>
                <w:sz w:val="12"/>
                <w:szCs w:val="12"/>
                <w:lang w:eastAsia="ja-JP"/>
              </w:rPr>
            </w:pPr>
            <w:r w:rsidRPr="00571C84">
              <w:rPr>
                <w:rFonts w:cs="Arial"/>
                <w:color w:val="FF0000"/>
                <w:sz w:val="12"/>
                <w:szCs w:val="12"/>
                <w:u w:val="single"/>
                <w:lang w:eastAsia="ja-JP"/>
              </w:rPr>
              <w:t xml:space="preserve">DL </w:t>
            </w:r>
            <w:r w:rsidRPr="00571C84">
              <w:rPr>
                <w:rFonts w:cs="Arial"/>
                <w:sz w:val="12"/>
                <w:szCs w:val="12"/>
                <w:lang w:eastAsia="ja-JP"/>
              </w:rPr>
              <w:t xml:space="preserve">reception in intra-carrier </w:t>
            </w:r>
            <w:proofErr w:type="spellStart"/>
            <w:r w:rsidRPr="00571C84">
              <w:rPr>
                <w:rFonts w:cs="Arial"/>
                <w:sz w:val="12"/>
                <w:szCs w:val="12"/>
                <w:lang w:eastAsia="ja-JP"/>
              </w:rPr>
              <w:t>guardband</w:t>
            </w:r>
            <w:proofErr w:type="spellEnd"/>
          </w:p>
        </w:tc>
        <w:tc>
          <w:tcPr>
            <w:tcW w:w="2413" w:type="dxa"/>
            <w:shd w:val="clear" w:color="auto" w:fill="auto"/>
          </w:tcPr>
          <w:p w14:paraId="75456770" w14:textId="3AC25347" w:rsidR="00654787" w:rsidRPr="00571C84" w:rsidRDefault="00654787" w:rsidP="00654787">
            <w:pPr>
              <w:autoSpaceDE w:val="0"/>
              <w:autoSpaceDN w:val="0"/>
              <w:adjustRightInd w:val="0"/>
              <w:snapToGrid w:val="0"/>
              <w:spacing w:afterLines="50" w:after="120"/>
              <w:contextualSpacing/>
              <w:jc w:val="both"/>
              <w:rPr>
                <w:rFonts w:ascii="Arial" w:hAnsi="Arial" w:cs="Arial"/>
                <w:sz w:val="12"/>
                <w:szCs w:val="12"/>
              </w:rPr>
            </w:pPr>
            <w:r w:rsidRPr="00571C84">
              <w:rPr>
                <w:rFonts w:ascii="Arial" w:hAnsi="Arial" w:cs="Arial" w:hint="eastAsia"/>
                <w:sz w:val="12"/>
                <w:szCs w:val="12"/>
              </w:rPr>
              <w:t>C</w:t>
            </w:r>
            <w:r w:rsidRPr="00571C84">
              <w:rPr>
                <w:rFonts w:ascii="Arial" w:hAnsi="Arial" w:cs="Arial"/>
                <w:sz w:val="12"/>
                <w:szCs w:val="12"/>
              </w:rPr>
              <w:t xml:space="preserve">apability of reception in the intra-cell </w:t>
            </w:r>
            <w:proofErr w:type="spellStart"/>
            <w:r w:rsidRPr="00571C84">
              <w:rPr>
                <w:rFonts w:ascii="Arial" w:hAnsi="Arial" w:cs="Arial"/>
                <w:sz w:val="12"/>
                <w:szCs w:val="12"/>
              </w:rPr>
              <w:t>guardband</w:t>
            </w:r>
            <w:proofErr w:type="spellEnd"/>
            <w:r w:rsidRPr="00571C84">
              <w:rPr>
                <w:rFonts w:ascii="Arial" w:hAnsi="Arial" w:cs="Arial"/>
                <w:sz w:val="12"/>
                <w:szCs w:val="12"/>
              </w:rPr>
              <w:t xml:space="preserve"> between contiguous </w:t>
            </w:r>
            <w:proofErr w:type="spellStart"/>
            <w:r w:rsidRPr="00571C84">
              <w:rPr>
                <w:rFonts w:ascii="Arial" w:hAnsi="Arial" w:cs="Arial"/>
                <w:sz w:val="12"/>
                <w:szCs w:val="12"/>
              </w:rPr>
              <w:t>subbands</w:t>
            </w:r>
            <w:proofErr w:type="spellEnd"/>
            <w:r w:rsidR="00C0487B">
              <w:rPr>
                <w:rFonts w:ascii="Arial" w:hAnsi="Arial" w:cs="Arial"/>
                <w:sz w:val="12"/>
                <w:szCs w:val="12"/>
              </w:rPr>
              <w:t xml:space="preserve"> </w:t>
            </w:r>
            <w:r w:rsidR="00C0487B" w:rsidRPr="00C0487B">
              <w:rPr>
                <w:rFonts w:ascii="Arial" w:hAnsi="Arial" w:cs="Arial"/>
                <w:color w:val="FF0000"/>
                <w:sz w:val="12"/>
                <w:szCs w:val="12"/>
                <w:u w:val="single"/>
              </w:rPr>
              <w:t>(which passed LBT)</w:t>
            </w:r>
            <w:r w:rsidRPr="00571C84">
              <w:rPr>
                <w:rFonts w:ascii="Arial" w:hAnsi="Arial" w:cs="Arial"/>
                <w:sz w:val="12"/>
                <w:szCs w:val="12"/>
              </w:rPr>
              <w:t xml:space="preserve"> in DL wideband carrier operation mode 2 or mode 3 wider than 20MHz </w:t>
            </w:r>
          </w:p>
        </w:tc>
        <w:tc>
          <w:tcPr>
            <w:tcW w:w="606" w:type="dxa"/>
            <w:shd w:val="clear" w:color="auto" w:fill="auto"/>
          </w:tcPr>
          <w:p w14:paraId="029E3C83" w14:textId="77777777" w:rsidR="00654787" w:rsidRPr="00571C84" w:rsidRDefault="00654787" w:rsidP="00654787">
            <w:pPr>
              <w:pStyle w:val="TAL"/>
              <w:rPr>
                <w:rFonts w:cs="Arial"/>
                <w:sz w:val="12"/>
                <w:szCs w:val="12"/>
                <w:lang w:eastAsia="ja-JP"/>
              </w:rPr>
            </w:pPr>
            <w:r w:rsidRPr="00571C84">
              <w:rPr>
                <w:rFonts w:asciiTheme="majorHAnsi" w:hAnsiTheme="majorHAnsi" w:cstheme="majorHAnsi"/>
                <w:sz w:val="12"/>
                <w:szCs w:val="12"/>
                <w:lang w:eastAsia="ja-JP"/>
              </w:rPr>
              <w:t>[10-19b] or [10-19c]</w:t>
            </w:r>
          </w:p>
        </w:tc>
        <w:tc>
          <w:tcPr>
            <w:tcW w:w="457" w:type="dxa"/>
            <w:shd w:val="clear" w:color="auto" w:fill="auto"/>
          </w:tcPr>
          <w:p w14:paraId="0B8414C8" w14:textId="77777777" w:rsidR="00654787" w:rsidRPr="00571C84" w:rsidRDefault="00654787" w:rsidP="00654787">
            <w:pPr>
              <w:pStyle w:val="TAL"/>
              <w:rPr>
                <w:rFonts w:cs="Arial"/>
                <w:sz w:val="12"/>
                <w:szCs w:val="12"/>
                <w:lang w:eastAsia="ja-JP"/>
              </w:rPr>
            </w:pPr>
            <w:r w:rsidRPr="00571C84">
              <w:rPr>
                <w:rFonts w:cs="Arial" w:hint="eastAsia"/>
                <w:sz w:val="12"/>
                <w:szCs w:val="12"/>
                <w:lang w:eastAsia="ja-JP"/>
              </w:rPr>
              <w:t>y</w:t>
            </w:r>
            <w:r w:rsidRPr="00571C84">
              <w:rPr>
                <w:rFonts w:cs="Arial"/>
                <w:sz w:val="12"/>
                <w:szCs w:val="12"/>
                <w:lang w:eastAsia="ja-JP"/>
              </w:rPr>
              <w:t>es</w:t>
            </w:r>
          </w:p>
        </w:tc>
        <w:tc>
          <w:tcPr>
            <w:tcW w:w="454" w:type="dxa"/>
            <w:shd w:val="clear" w:color="auto" w:fill="auto"/>
          </w:tcPr>
          <w:p w14:paraId="651DF00F" w14:textId="77777777" w:rsidR="00654787" w:rsidRPr="00571C84" w:rsidRDefault="00654787" w:rsidP="00654787">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655" w:type="dxa"/>
          </w:tcPr>
          <w:p w14:paraId="488F5125" w14:textId="77777777" w:rsidR="00654787" w:rsidRPr="00571C84" w:rsidRDefault="00654787" w:rsidP="00654787">
            <w:pPr>
              <w:pStyle w:val="TAL"/>
              <w:rPr>
                <w:rFonts w:cs="Arial"/>
                <w:sz w:val="12"/>
                <w:szCs w:val="12"/>
                <w:lang w:val="en-US" w:eastAsia="ja-JP"/>
              </w:rPr>
            </w:pPr>
            <w:r w:rsidRPr="00571C84">
              <w:rPr>
                <w:rFonts w:cs="Arial" w:hint="eastAsia"/>
                <w:sz w:val="12"/>
                <w:szCs w:val="12"/>
                <w:lang w:val="en-US" w:eastAsia="ja-JP"/>
              </w:rPr>
              <w:t>U</w:t>
            </w:r>
            <w:r w:rsidRPr="00571C84">
              <w:rPr>
                <w:rFonts w:cs="Arial"/>
                <w:sz w:val="12"/>
                <w:szCs w:val="12"/>
                <w:lang w:val="en-US" w:eastAsia="ja-JP"/>
              </w:rPr>
              <w:t xml:space="preserve">E cannot receive in the </w:t>
            </w:r>
            <w:proofErr w:type="spellStart"/>
            <w:r w:rsidRPr="00571C84">
              <w:rPr>
                <w:rFonts w:cs="Arial"/>
                <w:sz w:val="12"/>
                <w:szCs w:val="12"/>
                <w:lang w:val="en-US" w:eastAsia="ja-JP"/>
              </w:rPr>
              <w:t>guardband</w:t>
            </w:r>
            <w:proofErr w:type="spellEnd"/>
            <w:r w:rsidRPr="00571C84">
              <w:rPr>
                <w:rFonts w:cs="Arial"/>
                <w:sz w:val="12"/>
                <w:szCs w:val="12"/>
                <w:lang w:val="en-US" w:eastAsia="ja-JP"/>
              </w:rPr>
              <w:t xml:space="preserve">, it could only receive in the </w:t>
            </w:r>
            <w:proofErr w:type="spellStart"/>
            <w:r w:rsidRPr="00571C84">
              <w:rPr>
                <w:rFonts w:cs="Arial"/>
                <w:sz w:val="12"/>
                <w:szCs w:val="12"/>
                <w:lang w:val="en-US" w:eastAsia="ja-JP"/>
              </w:rPr>
              <w:t>subbands</w:t>
            </w:r>
            <w:proofErr w:type="spellEnd"/>
          </w:p>
        </w:tc>
        <w:tc>
          <w:tcPr>
            <w:tcW w:w="605" w:type="dxa"/>
            <w:shd w:val="clear" w:color="auto" w:fill="auto"/>
          </w:tcPr>
          <w:p w14:paraId="3D28E3F7" w14:textId="77777777" w:rsidR="00654787" w:rsidRPr="00571C84" w:rsidRDefault="00654787" w:rsidP="00654787">
            <w:pPr>
              <w:pStyle w:val="TAL"/>
              <w:rPr>
                <w:rFonts w:cs="Arial"/>
                <w:sz w:val="12"/>
                <w:szCs w:val="12"/>
                <w:lang w:eastAsia="ja-JP"/>
              </w:rPr>
            </w:pPr>
            <w:r w:rsidRPr="00571C84">
              <w:rPr>
                <w:rFonts w:cs="Arial" w:hint="eastAsia"/>
                <w:sz w:val="12"/>
                <w:szCs w:val="12"/>
                <w:lang w:eastAsia="ja-JP"/>
              </w:rPr>
              <w:t>p</w:t>
            </w:r>
            <w:r w:rsidRPr="00571C84">
              <w:rPr>
                <w:rFonts w:cs="Arial"/>
                <w:sz w:val="12"/>
                <w:szCs w:val="12"/>
                <w:lang w:eastAsia="ja-JP"/>
              </w:rPr>
              <w:t>er Band</w:t>
            </w:r>
          </w:p>
        </w:tc>
        <w:tc>
          <w:tcPr>
            <w:tcW w:w="504" w:type="dxa"/>
            <w:shd w:val="clear" w:color="auto" w:fill="auto"/>
          </w:tcPr>
          <w:p w14:paraId="64BE474E" w14:textId="77777777" w:rsidR="00654787" w:rsidRPr="00571C84" w:rsidRDefault="00654787" w:rsidP="00654787">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505" w:type="dxa"/>
            <w:shd w:val="clear" w:color="auto" w:fill="auto"/>
          </w:tcPr>
          <w:p w14:paraId="72C26D99" w14:textId="77777777" w:rsidR="00654787" w:rsidRPr="00571C84" w:rsidRDefault="00654787" w:rsidP="00654787">
            <w:pPr>
              <w:pStyle w:val="TAL"/>
              <w:rPr>
                <w:rFonts w:cs="Arial"/>
                <w:sz w:val="12"/>
                <w:szCs w:val="12"/>
                <w:lang w:eastAsia="ja-JP"/>
              </w:rPr>
            </w:pPr>
            <w:r w:rsidRPr="00571C84">
              <w:rPr>
                <w:rFonts w:cs="Arial" w:hint="eastAsia"/>
                <w:sz w:val="12"/>
                <w:szCs w:val="12"/>
                <w:lang w:eastAsia="ja-JP"/>
              </w:rPr>
              <w:t>N</w:t>
            </w:r>
            <w:r w:rsidRPr="00571C84">
              <w:rPr>
                <w:rFonts w:cs="Arial"/>
                <w:sz w:val="12"/>
                <w:szCs w:val="12"/>
                <w:lang w:eastAsia="ja-JP"/>
              </w:rPr>
              <w:t>o</w:t>
            </w:r>
          </w:p>
        </w:tc>
        <w:tc>
          <w:tcPr>
            <w:tcW w:w="806" w:type="dxa"/>
          </w:tcPr>
          <w:p w14:paraId="27F386DC" w14:textId="77777777" w:rsidR="00654787" w:rsidRPr="00571C84" w:rsidRDefault="00654787" w:rsidP="00654787">
            <w:pPr>
              <w:pStyle w:val="TAL"/>
              <w:rPr>
                <w:rFonts w:cs="Arial"/>
                <w:sz w:val="12"/>
                <w:szCs w:val="12"/>
              </w:rPr>
            </w:pPr>
          </w:p>
        </w:tc>
        <w:tc>
          <w:tcPr>
            <w:tcW w:w="806" w:type="dxa"/>
            <w:shd w:val="clear" w:color="auto" w:fill="auto"/>
          </w:tcPr>
          <w:p w14:paraId="44897E90" w14:textId="77777777" w:rsidR="00654787" w:rsidRPr="00571C84" w:rsidRDefault="00654787" w:rsidP="00654787">
            <w:pPr>
              <w:pStyle w:val="TAL"/>
              <w:rPr>
                <w:rFonts w:cs="Arial"/>
                <w:sz w:val="12"/>
                <w:szCs w:val="12"/>
              </w:rPr>
            </w:pPr>
          </w:p>
        </w:tc>
        <w:tc>
          <w:tcPr>
            <w:tcW w:w="605" w:type="dxa"/>
            <w:shd w:val="clear" w:color="auto" w:fill="auto"/>
          </w:tcPr>
          <w:p w14:paraId="6AF7559D" w14:textId="77777777" w:rsidR="00654787" w:rsidRPr="00C0487B" w:rsidRDefault="00654787" w:rsidP="00654787">
            <w:pPr>
              <w:pStyle w:val="TAL"/>
              <w:rPr>
                <w:rFonts w:eastAsia="SimSun" w:cs="Arial"/>
                <w:strike/>
                <w:color w:val="FF0000"/>
                <w:sz w:val="12"/>
                <w:szCs w:val="12"/>
                <w:lang w:eastAsia="zh-CN"/>
              </w:rPr>
            </w:pPr>
            <w:r w:rsidRPr="00C0487B">
              <w:rPr>
                <w:rFonts w:eastAsia="SimSun" w:cs="Arial"/>
                <w:strike/>
                <w:color w:val="FF0000"/>
                <w:sz w:val="12"/>
                <w:szCs w:val="12"/>
                <w:lang w:eastAsia="zh-CN"/>
              </w:rPr>
              <w:t>Optional with capability signalling</w:t>
            </w:r>
          </w:p>
          <w:p w14:paraId="69C92F94" w14:textId="2D9C562E" w:rsidR="00C0487B" w:rsidRPr="00571C84" w:rsidRDefault="00C0487B" w:rsidP="00654787">
            <w:pPr>
              <w:pStyle w:val="TAL"/>
              <w:rPr>
                <w:rFonts w:cs="Arial"/>
                <w:sz w:val="12"/>
                <w:szCs w:val="12"/>
                <w:lang w:eastAsia="ja-JP"/>
              </w:rPr>
            </w:pPr>
            <w:r w:rsidRPr="00571C84">
              <w:rPr>
                <w:rFonts w:eastAsia="SimSun" w:cs="Arial"/>
                <w:color w:val="FF0000"/>
                <w:sz w:val="12"/>
                <w:szCs w:val="12"/>
                <w:u w:val="single"/>
                <w:lang w:eastAsia="zh-CN"/>
              </w:rPr>
              <w:t>Mandatory without capability signalling</w:t>
            </w:r>
          </w:p>
        </w:tc>
      </w:tr>
      <w:tr w:rsidR="00612B57" w:rsidRPr="00571C84" w14:paraId="72B3FA30" w14:textId="77777777" w:rsidTr="00C0487B">
        <w:trPr>
          <w:trHeight w:val="20"/>
        </w:trPr>
        <w:tc>
          <w:tcPr>
            <w:tcW w:w="554" w:type="dxa"/>
            <w:shd w:val="clear" w:color="auto" w:fill="auto"/>
          </w:tcPr>
          <w:p w14:paraId="1988EE4B" w14:textId="77777777" w:rsidR="00612B57" w:rsidRPr="00571C84" w:rsidRDefault="00612B57" w:rsidP="00612B57">
            <w:pPr>
              <w:pStyle w:val="TAL"/>
              <w:rPr>
                <w:rFonts w:cs="Arial"/>
                <w:color w:val="FF0000"/>
                <w:sz w:val="12"/>
                <w:szCs w:val="12"/>
                <w:u w:val="single"/>
                <w:lang w:eastAsia="ja-JP"/>
              </w:rPr>
            </w:pPr>
          </w:p>
        </w:tc>
        <w:tc>
          <w:tcPr>
            <w:tcW w:w="404" w:type="dxa"/>
            <w:shd w:val="clear" w:color="auto" w:fill="auto"/>
          </w:tcPr>
          <w:p w14:paraId="352A7449" w14:textId="41B4A1FC"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4-y1</w:t>
            </w:r>
          </w:p>
        </w:tc>
        <w:tc>
          <w:tcPr>
            <w:tcW w:w="706" w:type="dxa"/>
            <w:shd w:val="clear" w:color="auto" w:fill="auto"/>
          </w:tcPr>
          <w:p w14:paraId="38BBE179" w14:textId="477AF8E2"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sidR="002634B7">
              <w:rPr>
                <w:rFonts w:cs="Arial"/>
                <w:color w:val="FF0000"/>
                <w:sz w:val="12"/>
                <w:szCs w:val="12"/>
                <w:u w:val="single"/>
              </w:rPr>
              <w:t>2A</w:t>
            </w:r>
          </w:p>
        </w:tc>
        <w:tc>
          <w:tcPr>
            <w:tcW w:w="2413" w:type="dxa"/>
            <w:shd w:val="clear" w:color="auto" w:fill="auto"/>
          </w:tcPr>
          <w:p w14:paraId="1AC5A757" w14:textId="5D8BA774" w:rsidR="00612B57" w:rsidRPr="00571C84" w:rsidRDefault="00612B57" w:rsidP="00612B57">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sidR="002634B7">
              <w:rPr>
                <w:rFonts w:ascii="Arial" w:hAnsi="Arial" w:cs="Arial"/>
                <w:color w:val="FF0000"/>
                <w:sz w:val="12"/>
                <w:szCs w:val="12"/>
                <w:u w:val="single"/>
              </w:rPr>
              <w:t>2A</w:t>
            </w:r>
            <w:r w:rsidRPr="00571C84">
              <w:rPr>
                <w:rFonts w:ascii="Arial" w:hAnsi="Arial" w:cs="Arial"/>
                <w:color w:val="FF0000"/>
                <w:sz w:val="12"/>
                <w:szCs w:val="12"/>
                <w:u w:val="single"/>
              </w:rPr>
              <w:t xml:space="preserve">: UE transmits only if LBT passes for </w:t>
            </w:r>
            <w:r w:rsidR="002634B7">
              <w:rPr>
                <w:rFonts w:ascii="Arial" w:hAnsi="Arial" w:cs="Arial"/>
                <w:color w:val="FF0000"/>
                <w:sz w:val="12"/>
                <w:szCs w:val="12"/>
                <w:u w:val="single"/>
              </w:rPr>
              <w:t xml:space="preserve">a </w:t>
            </w:r>
            <w:r w:rsidR="002634B7" w:rsidRPr="00C0487B">
              <w:rPr>
                <w:rFonts w:ascii="Arial" w:hAnsi="Arial" w:cs="Arial"/>
                <w:color w:val="FF0000"/>
                <w:sz w:val="12"/>
                <w:szCs w:val="12"/>
                <w:highlight w:val="yellow"/>
                <w:u w:val="single"/>
              </w:rPr>
              <w:t>single</w:t>
            </w:r>
            <w:r w:rsidRPr="00C0487B">
              <w:rPr>
                <w:rFonts w:ascii="Arial" w:hAnsi="Arial" w:cs="Arial"/>
                <w:color w:val="FF0000"/>
                <w:sz w:val="12"/>
                <w:szCs w:val="12"/>
                <w:highlight w:val="yellow"/>
                <w:u w:val="single"/>
              </w:rPr>
              <w:t xml:space="preserve"> </w:t>
            </w:r>
            <w:r w:rsidR="002634B7" w:rsidRPr="00C0487B">
              <w:rPr>
                <w:rFonts w:ascii="Arial" w:hAnsi="Arial" w:cs="Arial"/>
                <w:color w:val="FF0000"/>
                <w:sz w:val="12"/>
                <w:szCs w:val="12"/>
                <w:highlight w:val="yellow"/>
                <w:u w:val="single"/>
              </w:rPr>
              <w:t>scheduled</w:t>
            </w:r>
            <w:r w:rsidR="002634B7">
              <w:rPr>
                <w:rFonts w:ascii="Arial" w:hAnsi="Arial" w:cs="Arial"/>
                <w:color w:val="FF0000"/>
                <w:sz w:val="12"/>
                <w:szCs w:val="12"/>
                <w:u w:val="single"/>
              </w:rPr>
              <w:t xml:space="preserve"> </w:t>
            </w:r>
            <w:r w:rsidRPr="00571C84">
              <w:rPr>
                <w:rFonts w:ascii="Arial" w:hAnsi="Arial" w:cs="Arial"/>
                <w:color w:val="FF0000"/>
                <w:sz w:val="12"/>
                <w:szCs w:val="12"/>
                <w:u w:val="single"/>
              </w:rPr>
              <w:t>LBT sub-band.</w:t>
            </w:r>
          </w:p>
        </w:tc>
        <w:tc>
          <w:tcPr>
            <w:tcW w:w="606" w:type="dxa"/>
            <w:shd w:val="clear" w:color="auto" w:fill="auto"/>
          </w:tcPr>
          <w:p w14:paraId="2BB179EA" w14:textId="091D839B"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529EE085" w14:textId="1EF39D48" w:rsidR="00612B57" w:rsidRPr="00571C84" w:rsidRDefault="00612B57" w:rsidP="00612B57">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34183857" w14:textId="02E59A58"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20363C45" w14:textId="77777777" w:rsidR="00612B57" w:rsidRPr="00571C84" w:rsidRDefault="00612B57" w:rsidP="00612B57">
            <w:pPr>
              <w:pStyle w:val="TAL"/>
              <w:rPr>
                <w:rFonts w:cs="Arial"/>
                <w:color w:val="FF0000"/>
                <w:sz w:val="12"/>
                <w:szCs w:val="12"/>
                <w:u w:val="single"/>
                <w:lang w:val="en-US" w:eastAsia="ja-JP"/>
              </w:rPr>
            </w:pPr>
          </w:p>
        </w:tc>
        <w:tc>
          <w:tcPr>
            <w:tcW w:w="605" w:type="dxa"/>
            <w:shd w:val="clear" w:color="auto" w:fill="auto"/>
          </w:tcPr>
          <w:p w14:paraId="5BB2F4A9" w14:textId="3D5EC483"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7B60F02D" w14:textId="77A5A550"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50EAE70E" w14:textId="28C3E919"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5EAEF5E7" w14:textId="77777777" w:rsidR="00612B57" w:rsidRPr="00571C84" w:rsidRDefault="00612B57" w:rsidP="00612B57">
            <w:pPr>
              <w:pStyle w:val="TAL"/>
              <w:rPr>
                <w:rFonts w:cs="Arial"/>
                <w:color w:val="FF0000"/>
                <w:sz w:val="12"/>
                <w:szCs w:val="12"/>
                <w:u w:val="single"/>
              </w:rPr>
            </w:pPr>
          </w:p>
        </w:tc>
        <w:tc>
          <w:tcPr>
            <w:tcW w:w="806" w:type="dxa"/>
            <w:shd w:val="clear" w:color="auto" w:fill="auto"/>
          </w:tcPr>
          <w:p w14:paraId="791C7562" w14:textId="77777777" w:rsidR="00612B57" w:rsidRPr="00571C84" w:rsidRDefault="00612B57" w:rsidP="00612B57">
            <w:pPr>
              <w:pStyle w:val="TAL"/>
              <w:rPr>
                <w:rFonts w:cs="Arial"/>
                <w:color w:val="FF0000"/>
                <w:sz w:val="12"/>
                <w:szCs w:val="12"/>
                <w:u w:val="single"/>
              </w:rPr>
            </w:pPr>
          </w:p>
        </w:tc>
        <w:tc>
          <w:tcPr>
            <w:tcW w:w="605" w:type="dxa"/>
            <w:shd w:val="clear" w:color="auto" w:fill="auto"/>
          </w:tcPr>
          <w:p w14:paraId="53D021F8" w14:textId="7ED22172" w:rsidR="00612B57" w:rsidRPr="00571C84" w:rsidRDefault="00612B57" w:rsidP="00612B57">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Mandatory without capability signalling</w:t>
            </w:r>
          </w:p>
        </w:tc>
      </w:tr>
      <w:tr w:rsidR="00612B57" w:rsidRPr="00571C84" w14:paraId="5EC62173" w14:textId="77777777" w:rsidTr="00C0487B">
        <w:trPr>
          <w:trHeight w:val="20"/>
        </w:trPr>
        <w:tc>
          <w:tcPr>
            <w:tcW w:w="554" w:type="dxa"/>
            <w:shd w:val="clear" w:color="auto" w:fill="auto"/>
          </w:tcPr>
          <w:p w14:paraId="24325399" w14:textId="77777777" w:rsidR="00612B57" w:rsidRPr="00571C84" w:rsidRDefault="00612B57" w:rsidP="00612B57">
            <w:pPr>
              <w:pStyle w:val="TAL"/>
              <w:rPr>
                <w:rFonts w:cs="Arial"/>
                <w:color w:val="FF0000"/>
                <w:sz w:val="12"/>
                <w:szCs w:val="12"/>
                <w:u w:val="single"/>
                <w:lang w:eastAsia="ja-JP"/>
              </w:rPr>
            </w:pPr>
          </w:p>
        </w:tc>
        <w:tc>
          <w:tcPr>
            <w:tcW w:w="404" w:type="dxa"/>
            <w:shd w:val="clear" w:color="auto" w:fill="auto"/>
          </w:tcPr>
          <w:p w14:paraId="39BDD95E" w14:textId="0EEF6B7D"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4-y2</w:t>
            </w:r>
          </w:p>
        </w:tc>
        <w:tc>
          <w:tcPr>
            <w:tcW w:w="706" w:type="dxa"/>
            <w:shd w:val="clear" w:color="auto" w:fill="auto"/>
          </w:tcPr>
          <w:p w14:paraId="4348BB3F" w14:textId="5B07C588"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rPr>
              <w:t xml:space="preserve">UL wideband carrier operation mode </w:t>
            </w:r>
            <w:r w:rsidR="002634B7">
              <w:rPr>
                <w:rFonts w:cs="Arial"/>
                <w:color w:val="FF0000"/>
                <w:sz w:val="12"/>
                <w:szCs w:val="12"/>
                <w:u w:val="single"/>
              </w:rPr>
              <w:t>2B</w:t>
            </w:r>
          </w:p>
        </w:tc>
        <w:tc>
          <w:tcPr>
            <w:tcW w:w="2413" w:type="dxa"/>
            <w:shd w:val="clear" w:color="auto" w:fill="auto"/>
          </w:tcPr>
          <w:p w14:paraId="58444065" w14:textId="0B9212F0" w:rsidR="00612B57" w:rsidRPr="00571C84" w:rsidRDefault="00612B57" w:rsidP="00612B57">
            <w:pPr>
              <w:autoSpaceDE w:val="0"/>
              <w:autoSpaceDN w:val="0"/>
              <w:adjustRightInd w:val="0"/>
              <w:snapToGrid w:val="0"/>
              <w:spacing w:afterLines="50" w:after="120"/>
              <w:contextualSpacing/>
              <w:jc w:val="both"/>
              <w:rPr>
                <w:rFonts w:ascii="Arial" w:hAnsi="Arial" w:cs="Arial"/>
                <w:color w:val="FF0000"/>
                <w:sz w:val="12"/>
                <w:szCs w:val="12"/>
                <w:u w:val="single"/>
              </w:rPr>
            </w:pPr>
            <w:r w:rsidRPr="00571C84">
              <w:rPr>
                <w:rFonts w:ascii="Arial" w:hAnsi="Arial" w:cs="Arial"/>
                <w:color w:val="FF0000"/>
                <w:sz w:val="12"/>
                <w:szCs w:val="12"/>
                <w:u w:val="single"/>
              </w:rPr>
              <w:t xml:space="preserve">Support of UL wideband carrier operation mode </w:t>
            </w:r>
            <w:r w:rsidR="002634B7">
              <w:rPr>
                <w:rFonts w:ascii="Arial" w:hAnsi="Arial" w:cs="Arial"/>
                <w:color w:val="FF0000"/>
                <w:sz w:val="12"/>
                <w:szCs w:val="12"/>
                <w:u w:val="single"/>
              </w:rPr>
              <w:t>2B</w:t>
            </w:r>
            <w:r w:rsidRPr="00571C84">
              <w:rPr>
                <w:rFonts w:ascii="Arial" w:hAnsi="Arial" w:cs="Arial"/>
                <w:color w:val="FF0000"/>
                <w:sz w:val="12"/>
                <w:szCs w:val="12"/>
                <w:u w:val="single"/>
              </w:rPr>
              <w:t xml:space="preserve">: UE transmits only if LBT passes for </w:t>
            </w:r>
            <w:r w:rsidR="002634B7" w:rsidRPr="00C0487B">
              <w:rPr>
                <w:rFonts w:ascii="Arial" w:hAnsi="Arial" w:cs="Arial"/>
                <w:color w:val="FF0000"/>
                <w:sz w:val="12"/>
                <w:szCs w:val="12"/>
                <w:highlight w:val="yellow"/>
                <w:u w:val="single"/>
              </w:rPr>
              <w:t xml:space="preserve">all </w:t>
            </w:r>
            <w:r w:rsidRPr="00C0487B">
              <w:rPr>
                <w:rFonts w:ascii="Arial" w:hAnsi="Arial" w:cs="Arial"/>
                <w:color w:val="FF0000"/>
                <w:sz w:val="12"/>
                <w:szCs w:val="12"/>
                <w:highlight w:val="yellow"/>
                <w:u w:val="single"/>
              </w:rPr>
              <w:t xml:space="preserve">scheduled </w:t>
            </w:r>
            <w:r w:rsidR="00C0487B" w:rsidRPr="00C0487B">
              <w:rPr>
                <w:rFonts w:ascii="Arial" w:hAnsi="Arial" w:cs="Arial"/>
                <w:color w:val="FF0000"/>
                <w:sz w:val="12"/>
                <w:szCs w:val="12"/>
                <w:highlight w:val="yellow"/>
                <w:u w:val="single"/>
              </w:rPr>
              <w:t>contiguous</w:t>
            </w:r>
            <w:r w:rsidR="00C0487B">
              <w:rPr>
                <w:rFonts w:ascii="Arial" w:hAnsi="Arial" w:cs="Arial"/>
                <w:color w:val="FF0000"/>
                <w:sz w:val="12"/>
                <w:szCs w:val="12"/>
                <w:u w:val="single"/>
              </w:rPr>
              <w:t xml:space="preserve"> </w:t>
            </w:r>
            <w:r w:rsidR="002634B7">
              <w:rPr>
                <w:rFonts w:ascii="Arial" w:hAnsi="Arial" w:cs="Arial"/>
                <w:color w:val="FF0000"/>
                <w:sz w:val="12"/>
                <w:szCs w:val="12"/>
                <w:u w:val="single"/>
              </w:rPr>
              <w:t xml:space="preserve">LBT sub-bands. </w:t>
            </w:r>
          </w:p>
        </w:tc>
        <w:tc>
          <w:tcPr>
            <w:tcW w:w="606" w:type="dxa"/>
            <w:shd w:val="clear" w:color="auto" w:fill="auto"/>
          </w:tcPr>
          <w:p w14:paraId="4D673ABB" w14:textId="2D99A573"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[10-19b] or [10-19c]</w:t>
            </w:r>
          </w:p>
        </w:tc>
        <w:tc>
          <w:tcPr>
            <w:tcW w:w="457" w:type="dxa"/>
            <w:shd w:val="clear" w:color="auto" w:fill="auto"/>
          </w:tcPr>
          <w:p w14:paraId="0C45022F" w14:textId="7A6CF694" w:rsidR="00612B57" w:rsidRPr="00571C84" w:rsidRDefault="00612B57" w:rsidP="00612B57">
            <w:pPr>
              <w:pStyle w:val="TAL"/>
              <w:rPr>
                <w:rFonts w:cs="Arial"/>
                <w:color w:val="FF0000"/>
                <w:sz w:val="12"/>
                <w:szCs w:val="12"/>
                <w:u w:val="single"/>
                <w:lang w:eastAsia="ja-JP"/>
              </w:rPr>
            </w:pPr>
            <w:r w:rsidRPr="00571C84">
              <w:rPr>
                <w:rFonts w:eastAsia="MS Mincho" w:cs="Arial"/>
                <w:iCs/>
                <w:color w:val="FF0000"/>
                <w:sz w:val="12"/>
                <w:szCs w:val="12"/>
                <w:u w:val="single"/>
                <w:lang w:eastAsia="ja-JP"/>
              </w:rPr>
              <w:t>yes</w:t>
            </w:r>
          </w:p>
        </w:tc>
        <w:tc>
          <w:tcPr>
            <w:tcW w:w="454" w:type="dxa"/>
            <w:shd w:val="clear" w:color="auto" w:fill="auto"/>
          </w:tcPr>
          <w:p w14:paraId="4E718E47" w14:textId="413C88BF"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655" w:type="dxa"/>
          </w:tcPr>
          <w:p w14:paraId="756C2563" w14:textId="77777777" w:rsidR="00612B57" w:rsidRPr="00571C84" w:rsidRDefault="00612B57" w:rsidP="00612B57">
            <w:pPr>
              <w:pStyle w:val="TAL"/>
              <w:rPr>
                <w:rFonts w:cs="Arial"/>
                <w:color w:val="FF0000"/>
                <w:sz w:val="12"/>
                <w:szCs w:val="12"/>
                <w:u w:val="single"/>
                <w:lang w:val="en-US" w:eastAsia="ja-JP"/>
              </w:rPr>
            </w:pPr>
          </w:p>
        </w:tc>
        <w:tc>
          <w:tcPr>
            <w:tcW w:w="605" w:type="dxa"/>
            <w:shd w:val="clear" w:color="auto" w:fill="auto"/>
          </w:tcPr>
          <w:p w14:paraId="50E340DF" w14:textId="4A56E054"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Per band</w:t>
            </w:r>
          </w:p>
        </w:tc>
        <w:tc>
          <w:tcPr>
            <w:tcW w:w="504" w:type="dxa"/>
            <w:shd w:val="clear" w:color="auto" w:fill="auto"/>
          </w:tcPr>
          <w:p w14:paraId="393C993B" w14:textId="01E8C14C"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505" w:type="dxa"/>
            <w:shd w:val="clear" w:color="auto" w:fill="auto"/>
          </w:tcPr>
          <w:p w14:paraId="64CF4DB0" w14:textId="594C3EB9" w:rsidR="00612B57" w:rsidRPr="00571C84" w:rsidRDefault="00612B57" w:rsidP="00612B57">
            <w:pPr>
              <w:pStyle w:val="TAL"/>
              <w:rPr>
                <w:rFonts w:cs="Arial"/>
                <w:color w:val="FF0000"/>
                <w:sz w:val="12"/>
                <w:szCs w:val="12"/>
                <w:u w:val="single"/>
                <w:lang w:eastAsia="ja-JP"/>
              </w:rPr>
            </w:pPr>
            <w:r w:rsidRPr="00571C84">
              <w:rPr>
                <w:rFonts w:cs="Arial"/>
                <w:color w:val="FF0000"/>
                <w:sz w:val="12"/>
                <w:szCs w:val="12"/>
                <w:u w:val="single"/>
                <w:lang w:eastAsia="ja-JP"/>
              </w:rPr>
              <w:t>no</w:t>
            </w:r>
          </w:p>
        </w:tc>
        <w:tc>
          <w:tcPr>
            <w:tcW w:w="806" w:type="dxa"/>
          </w:tcPr>
          <w:p w14:paraId="7FE4504B" w14:textId="77777777" w:rsidR="00612B57" w:rsidRPr="00571C84" w:rsidRDefault="00612B57" w:rsidP="00612B57">
            <w:pPr>
              <w:pStyle w:val="TAL"/>
              <w:rPr>
                <w:rFonts w:cs="Arial"/>
                <w:color w:val="FF0000"/>
                <w:sz w:val="12"/>
                <w:szCs w:val="12"/>
                <w:u w:val="single"/>
              </w:rPr>
            </w:pPr>
          </w:p>
        </w:tc>
        <w:tc>
          <w:tcPr>
            <w:tcW w:w="806" w:type="dxa"/>
            <w:shd w:val="clear" w:color="auto" w:fill="auto"/>
          </w:tcPr>
          <w:p w14:paraId="74E95B02" w14:textId="77777777" w:rsidR="00612B57" w:rsidRPr="00571C84" w:rsidRDefault="00612B57" w:rsidP="00612B57">
            <w:pPr>
              <w:pStyle w:val="TAL"/>
              <w:rPr>
                <w:rFonts w:cs="Arial"/>
                <w:color w:val="FF0000"/>
                <w:sz w:val="12"/>
                <w:szCs w:val="12"/>
                <w:u w:val="single"/>
              </w:rPr>
            </w:pPr>
          </w:p>
        </w:tc>
        <w:tc>
          <w:tcPr>
            <w:tcW w:w="605" w:type="dxa"/>
            <w:shd w:val="clear" w:color="auto" w:fill="auto"/>
          </w:tcPr>
          <w:p w14:paraId="37554F0B" w14:textId="3FB381DB" w:rsidR="00612B57" w:rsidRPr="00571C84" w:rsidRDefault="00612B57" w:rsidP="00612B57">
            <w:pPr>
              <w:pStyle w:val="TAL"/>
              <w:rPr>
                <w:rFonts w:eastAsia="SimSun" w:cs="Arial"/>
                <w:color w:val="FF0000"/>
                <w:sz w:val="12"/>
                <w:szCs w:val="12"/>
                <w:u w:val="single"/>
                <w:lang w:eastAsia="zh-CN"/>
              </w:rPr>
            </w:pPr>
            <w:r w:rsidRPr="00571C84">
              <w:rPr>
                <w:rFonts w:eastAsia="SimSun" w:cs="Arial"/>
                <w:color w:val="FF0000"/>
                <w:sz w:val="12"/>
                <w:szCs w:val="12"/>
                <w:u w:val="single"/>
                <w:lang w:eastAsia="zh-CN"/>
              </w:rPr>
              <w:t>Optional with capability signalling</w:t>
            </w:r>
          </w:p>
        </w:tc>
      </w:tr>
    </w:tbl>
    <w:p w14:paraId="39BE2261" w14:textId="4E39A71F" w:rsidR="00BE414D" w:rsidRDefault="00BE414D" w:rsidP="00BE414D"/>
    <w:p w14:paraId="14CD3FD5" w14:textId="13A4225E" w:rsidR="00BE414D" w:rsidRDefault="00BE414D" w:rsidP="00BE414D"/>
    <w:p w14:paraId="25E4DC14" w14:textId="1AB327FC" w:rsidR="006518DA" w:rsidRDefault="006518DA" w:rsidP="006518DA">
      <w:pPr>
        <w:pStyle w:val="Proposal"/>
      </w:pPr>
      <w:bookmarkStart w:id="97" w:name="_Toc54180919"/>
      <w:bookmarkStart w:id="98" w:name="_Toc54284434"/>
      <w:bookmarkStart w:id="99" w:name="_Toc54383824"/>
      <w:bookmarkStart w:id="100" w:name="_Toc54384578"/>
      <w:bookmarkStart w:id="101" w:name="_Toc54384649"/>
      <w:r>
        <w:lastRenderedPageBreak/>
        <w:t>Proposal 3:</w:t>
      </w:r>
      <w:r>
        <w:tab/>
        <w:t xml:space="preserve">Add the corresponding NR-U capabilities into the </w:t>
      </w:r>
      <w:r w:rsidR="00615F41">
        <w:t>RAN WG4</w:t>
      </w:r>
      <w:r>
        <w:t xml:space="preserve"> feature list and inform other WGs about it.</w:t>
      </w:r>
      <w:bookmarkEnd w:id="97"/>
      <w:bookmarkEnd w:id="98"/>
      <w:bookmarkEnd w:id="99"/>
      <w:bookmarkEnd w:id="100"/>
      <w:bookmarkEnd w:id="101"/>
      <w:r>
        <w:t xml:space="preserve"> </w:t>
      </w:r>
    </w:p>
    <w:p w14:paraId="1AC71ADC" w14:textId="77777777" w:rsidR="006518DA" w:rsidRPr="00BE414D" w:rsidRDefault="006518DA" w:rsidP="00BE414D"/>
    <w:p w14:paraId="34C99636" w14:textId="0D5E0C54" w:rsidR="008E7986" w:rsidRDefault="008D3B0B" w:rsidP="008E7986">
      <w:pPr>
        <w:pStyle w:val="Heading1"/>
      </w:pPr>
      <w:r>
        <w:t>3</w:t>
      </w:r>
      <w:r w:rsidR="008E7986">
        <w:tab/>
        <w:t>Conclusions</w:t>
      </w:r>
    </w:p>
    <w:p w14:paraId="001A58A1" w14:textId="19032B73" w:rsidR="00E72324" w:rsidRDefault="00515AE4" w:rsidP="00E72324">
      <w:r>
        <w:t xml:space="preserve">In this discussion paper we have presented our further considerations for </w:t>
      </w:r>
      <w:r w:rsidR="00194772">
        <w:t xml:space="preserve">NR-U </w:t>
      </w:r>
      <w:r w:rsidR="00EA1F10">
        <w:t xml:space="preserve">wide-band capabilities. </w:t>
      </w:r>
      <w:r w:rsidR="00194772">
        <w:t>As a summary of our paper we propose:</w:t>
      </w:r>
    </w:p>
    <w:p w14:paraId="7DC9B627" w14:textId="77777777" w:rsidR="00615F41" w:rsidRDefault="0062595A">
      <w:pPr>
        <w:pStyle w:val="TOC1"/>
        <w:rPr>
          <w:rFonts w:asciiTheme="minorHAnsi" w:eastAsiaTheme="minorEastAsia" w:hAnsiTheme="minorHAnsi" w:cstheme="minorBidi"/>
          <w:b w:val="0"/>
          <w:bCs w:val="0"/>
          <w:noProof/>
          <w:sz w:val="24"/>
          <w:szCs w:val="24"/>
          <w:lang w:val="de-DE" w:eastAsia="ko-KR"/>
        </w:rPr>
      </w:pPr>
      <w:r>
        <w:rPr>
          <w:b w:val="0"/>
          <w:bCs w:val="0"/>
        </w:rPr>
        <w:fldChar w:fldCharType="begin"/>
      </w:r>
      <w:r>
        <w:rPr>
          <w:b w:val="0"/>
          <w:bCs w:val="0"/>
        </w:rPr>
        <w:instrText xml:space="preserve"> TOC \n \t "Proposal,1" </w:instrText>
      </w:r>
      <w:r>
        <w:rPr>
          <w:b w:val="0"/>
          <w:bCs w:val="0"/>
        </w:rPr>
        <w:fldChar w:fldCharType="separate"/>
      </w:r>
      <w:r w:rsidR="00615F41">
        <w:rPr>
          <w:noProof/>
        </w:rPr>
        <w:t>Proposal 1a:</w:t>
      </w:r>
      <w:r w:rsidR="00615F41">
        <w:rPr>
          <w:rFonts w:asciiTheme="minorHAnsi" w:eastAsiaTheme="minorEastAsia" w:hAnsiTheme="minorHAnsi" w:cstheme="minorBidi"/>
          <w:b w:val="0"/>
          <w:bCs w:val="0"/>
          <w:noProof/>
          <w:sz w:val="24"/>
          <w:szCs w:val="24"/>
          <w:lang w:val="de-DE" w:eastAsia="ko-KR"/>
        </w:rPr>
        <w:tab/>
      </w:r>
      <w:r w:rsidR="00615F41">
        <w:rPr>
          <w:noProof/>
        </w:rPr>
        <w:t>DL wide-band mode 1 can be construed as the baseline NR-U functionality.</w:t>
      </w:r>
    </w:p>
    <w:p w14:paraId="3E5DE660" w14:textId="77777777" w:rsidR="00615F41" w:rsidRDefault="00615F41">
      <w:pPr>
        <w:pStyle w:val="TOC1"/>
        <w:rPr>
          <w:rFonts w:asciiTheme="minorHAnsi" w:eastAsiaTheme="minorEastAsia" w:hAnsiTheme="minorHAnsi" w:cstheme="minorBidi"/>
          <w:b w:val="0"/>
          <w:bCs w:val="0"/>
          <w:noProof/>
          <w:sz w:val="24"/>
          <w:szCs w:val="24"/>
          <w:lang w:val="de-DE" w:eastAsia="ko-KR"/>
        </w:rPr>
      </w:pPr>
      <w:r>
        <w:rPr>
          <w:noProof/>
        </w:rPr>
        <w:t>Proposal 1b:</w:t>
      </w:r>
      <w:r>
        <w:rPr>
          <w:rFonts w:asciiTheme="minorHAnsi" w:eastAsiaTheme="minorEastAsia" w:hAnsiTheme="minorHAnsi" w:cstheme="minorBidi"/>
          <w:b w:val="0"/>
          <w:bCs w:val="0"/>
          <w:noProof/>
          <w:sz w:val="24"/>
          <w:szCs w:val="24"/>
          <w:lang w:val="de-DE" w:eastAsia="ko-KR"/>
        </w:rPr>
        <w:tab/>
      </w:r>
      <w:r>
        <w:rPr>
          <w:noProof/>
        </w:rPr>
        <w:t>DL wide-band mode 2 and 3 must be differentiated from mode 1.</w:t>
      </w:r>
    </w:p>
    <w:p w14:paraId="335BB7D5" w14:textId="77777777" w:rsidR="00615F41" w:rsidRDefault="00615F41">
      <w:pPr>
        <w:pStyle w:val="TOC1"/>
        <w:rPr>
          <w:rFonts w:asciiTheme="minorHAnsi" w:eastAsiaTheme="minorEastAsia" w:hAnsiTheme="minorHAnsi" w:cstheme="minorBidi"/>
          <w:b w:val="0"/>
          <w:bCs w:val="0"/>
          <w:noProof/>
          <w:sz w:val="24"/>
          <w:szCs w:val="24"/>
          <w:lang w:val="de-DE" w:eastAsia="ko-KR"/>
        </w:rPr>
      </w:pPr>
      <w:r>
        <w:rPr>
          <w:noProof/>
        </w:rPr>
        <w:t>Proposal 1c:</w:t>
      </w:r>
      <w:r>
        <w:rPr>
          <w:rFonts w:asciiTheme="minorHAnsi" w:eastAsiaTheme="minorEastAsia" w:hAnsiTheme="minorHAnsi" w:cstheme="minorBidi"/>
          <w:b w:val="0"/>
          <w:bCs w:val="0"/>
          <w:noProof/>
          <w:sz w:val="24"/>
          <w:szCs w:val="24"/>
          <w:lang w:val="de-DE" w:eastAsia="ko-KR"/>
        </w:rPr>
        <w:tab/>
      </w:r>
      <w:r>
        <w:rPr>
          <w:noProof/>
        </w:rPr>
        <w:t>Discuss further whether DL mode 2 and 3 should have separate capabilities or they can be covered by the same "mode 2/3" capability.</w:t>
      </w:r>
    </w:p>
    <w:p w14:paraId="60A840BE" w14:textId="77777777" w:rsidR="00615F41" w:rsidRDefault="00615F41">
      <w:pPr>
        <w:pStyle w:val="TOC1"/>
        <w:rPr>
          <w:rFonts w:asciiTheme="minorHAnsi" w:eastAsiaTheme="minorEastAsia" w:hAnsiTheme="minorHAnsi" w:cstheme="minorBidi"/>
          <w:b w:val="0"/>
          <w:bCs w:val="0"/>
          <w:noProof/>
          <w:sz w:val="24"/>
          <w:szCs w:val="24"/>
          <w:lang w:val="de-DE" w:eastAsia="ko-KR"/>
        </w:rPr>
      </w:pPr>
      <w:r>
        <w:rPr>
          <w:noProof/>
        </w:rPr>
        <w:t>Proposal 1c:</w:t>
      </w:r>
      <w:r>
        <w:rPr>
          <w:rFonts w:asciiTheme="minorHAnsi" w:eastAsiaTheme="minorEastAsia" w:hAnsiTheme="minorHAnsi" w:cstheme="minorBidi"/>
          <w:b w:val="0"/>
          <w:bCs w:val="0"/>
          <w:noProof/>
          <w:sz w:val="24"/>
          <w:szCs w:val="24"/>
          <w:lang w:val="de-DE" w:eastAsia="ko-KR"/>
        </w:rPr>
        <w:tab/>
      </w:r>
      <w:r>
        <w:rPr>
          <w:noProof/>
        </w:rPr>
        <w:t>DL wide-band mode 1 UE performance requirements apply only if sub-bands of the configured channel contain serving gNB transmission.</w:t>
      </w:r>
    </w:p>
    <w:p w14:paraId="31C8951D" w14:textId="77777777" w:rsidR="00615F41" w:rsidRDefault="00615F41">
      <w:pPr>
        <w:pStyle w:val="TOC1"/>
        <w:rPr>
          <w:rFonts w:asciiTheme="minorHAnsi" w:eastAsiaTheme="minorEastAsia" w:hAnsiTheme="minorHAnsi" w:cstheme="minorBidi"/>
          <w:b w:val="0"/>
          <w:bCs w:val="0"/>
          <w:noProof/>
          <w:sz w:val="24"/>
          <w:szCs w:val="24"/>
          <w:lang w:val="de-DE" w:eastAsia="ko-KR"/>
        </w:rPr>
      </w:pPr>
      <w:r>
        <w:rPr>
          <w:noProof/>
        </w:rPr>
        <w:t>Proposal 2a:</w:t>
      </w:r>
      <w:r>
        <w:rPr>
          <w:rFonts w:asciiTheme="minorHAnsi" w:eastAsiaTheme="minorEastAsia" w:hAnsiTheme="minorHAnsi" w:cstheme="minorBidi"/>
          <w:b w:val="0"/>
          <w:bCs w:val="0"/>
          <w:noProof/>
          <w:sz w:val="24"/>
          <w:szCs w:val="24"/>
          <w:lang w:val="de-DE" w:eastAsia="ko-KR"/>
        </w:rPr>
        <w:tab/>
      </w:r>
      <w:r>
        <w:rPr>
          <w:noProof/>
        </w:rPr>
        <w:t>A UE should perform LBT only for those sub-bands where data is scheduled.</w:t>
      </w:r>
    </w:p>
    <w:p w14:paraId="770D3613" w14:textId="77777777" w:rsidR="00615F41" w:rsidRDefault="00615F41">
      <w:pPr>
        <w:pStyle w:val="TOC1"/>
        <w:rPr>
          <w:rFonts w:asciiTheme="minorHAnsi" w:eastAsiaTheme="minorEastAsia" w:hAnsiTheme="minorHAnsi" w:cstheme="minorBidi"/>
          <w:b w:val="0"/>
          <w:bCs w:val="0"/>
          <w:noProof/>
          <w:sz w:val="24"/>
          <w:szCs w:val="24"/>
          <w:lang w:val="de-DE" w:eastAsia="ko-KR"/>
        </w:rPr>
      </w:pPr>
      <w:r>
        <w:rPr>
          <w:noProof/>
        </w:rPr>
        <w:t>Proposal 2b:</w:t>
      </w:r>
      <w:r>
        <w:rPr>
          <w:rFonts w:asciiTheme="minorHAnsi" w:eastAsiaTheme="minorEastAsia" w:hAnsiTheme="minorHAnsi" w:cstheme="minorBidi"/>
          <w:b w:val="0"/>
          <w:bCs w:val="0"/>
          <w:noProof/>
          <w:sz w:val="24"/>
          <w:szCs w:val="24"/>
          <w:lang w:val="de-DE" w:eastAsia="ko-KR"/>
        </w:rPr>
        <w:tab/>
      </w:r>
      <w:r>
        <w:rPr>
          <w:noProof/>
        </w:rPr>
        <w:t>If Proposal 2a is agreeable, then UL wide-band mode 1 is not needed as the UE behaviour will always correspond to UL mode 2A/2B.</w:t>
      </w:r>
    </w:p>
    <w:p w14:paraId="50E06E1D" w14:textId="77777777" w:rsidR="00615F41" w:rsidRDefault="00615F41">
      <w:pPr>
        <w:pStyle w:val="TOC1"/>
        <w:rPr>
          <w:rFonts w:asciiTheme="minorHAnsi" w:eastAsiaTheme="minorEastAsia" w:hAnsiTheme="minorHAnsi" w:cstheme="minorBidi"/>
          <w:b w:val="0"/>
          <w:bCs w:val="0"/>
          <w:noProof/>
          <w:sz w:val="24"/>
          <w:szCs w:val="24"/>
          <w:lang w:val="de-DE" w:eastAsia="ko-KR"/>
        </w:rPr>
      </w:pPr>
      <w:r>
        <w:rPr>
          <w:noProof/>
        </w:rPr>
        <w:t>Proposal 2c:</w:t>
      </w:r>
      <w:r>
        <w:rPr>
          <w:rFonts w:asciiTheme="minorHAnsi" w:eastAsiaTheme="minorEastAsia" w:hAnsiTheme="minorHAnsi" w:cstheme="minorBidi"/>
          <w:b w:val="0"/>
          <w:bCs w:val="0"/>
          <w:noProof/>
          <w:sz w:val="24"/>
          <w:szCs w:val="24"/>
          <w:lang w:val="de-DE" w:eastAsia="ko-KR"/>
        </w:rPr>
        <w:tab/>
      </w:r>
      <w:r>
        <w:rPr>
          <w:noProof/>
        </w:rPr>
        <w:t>It is preferable to have differentiation between 2A and 2B accounting for different UE LBT capabilities.</w:t>
      </w:r>
    </w:p>
    <w:p w14:paraId="4CED2813" w14:textId="77777777" w:rsidR="00615F41" w:rsidRDefault="00615F41">
      <w:pPr>
        <w:pStyle w:val="TOC1"/>
        <w:rPr>
          <w:rFonts w:asciiTheme="minorHAnsi" w:eastAsiaTheme="minorEastAsia" w:hAnsiTheme="minorHAnsi" w:cstheme="minorBidi"/>
          <w:b w:val="0"/>
          <w:bCs w:val="0"/>
          <w:noProof/>
          <w:sz w:val="24"/>
          <w:szCs w:val="24"/>
          <w:lang w:val="de-DE" w:eastAsia="ko-KR"/>
        </w:rPr>
      </w:pPr>
      <w:r>
        <w:rPr>
          <w:noProof/>
        </w:rPr>
        <w:t>Proposal 3:</w:t>
      </w:r>
      <w:r>
        <w:rPr>
          <w:rFonts w:asciiTheme="minorHAnsi" w:eastAsiaTheme="minorEastAsia" w:hAnsiTheme="minorHAnsi" w:cstheme="minorBidi"/>
          <w:b w:val="0"/>
          <w:bCs w:val="0"/>
          <w:noProof/>
          <w:sz w:val="24"/>
          <w:szCs w:val="24"/>
          <w:lang w:val="de-DE" w:eastAsia="ko-KR"/>
        </w:rPr>
        <w:tab/>
      </w:r>
      <w:r>
        <w:rPr>
          <w:noProof/>
        </w:rPr>
        <w:t>Add the corresponding NR-U capabilities into the RAN WG4 feature list and inform other WGs about it.</w:t>
      </w:r>
    </w:p>
    <w:p w14:paraId="05CC6F0A" w14:textId="41273D10" w:rsidR="005E69AE" w:rsidRDefault="0062595A" w:rsidP="009F6A53">
      <w:r>
        <w:rPr>
          <w:b/>
          <w:bCs/>
        </w:rPr>
        <w:fldChar w:fldCharType="end"/>
      </w:r>
    </w:p>
    <w:p w14:paraId="4D133CD8" w14:textId="09FDFF7E" w:rsidR="00276EE4" w:rsidRPr="003A0483" w:rsidRDefault="005E69AE" w:rsidP="0034070F">
      <w:pPr>
        <w:pStyle w:val="Heading1"/>
      </w:pPr>
      <w:r>
        <w:t>4</w:t>
      </w:r>
      <w:r>
        <w:tab/>
        <w:t>References</w:t>
      </w:r>
    </w:p>
    <w:p w14:paraId="02656AEC" w14:textId="308E8ABE" w:rsidR="005E69AE" w:rsidRDefault="003251B9" w:rsidP="00276EE4">
      <w:pPr>
        <w:pStyle w:val="EX"/>
      </w:pPr>
      <w:bookmarkStart w:id="102" w:name="_Ref13820109"/>
      <w:bookmarkStart w:id="103" w:name="_Ref37077689"/>
      <w:bookmarkStart w:id="104" w:name="_Ref40269250"/>
      <w:r w:rsidRPr="003251B9">
        <w:t>RP-1912926</w:t>
      </w:r>
      <w:r w:rsidR="00667164">
        <w:t>, "</w:t>
      </w:r>
      <w:r w:rsidRPr="003251B9">
        <w:t xml:space="preserve">WID on NR-based Access to Unlicensed Spectrum </w:t>
      </w:r>
      <w:r w:rsidR="00667164">
        <w:t xml:space="preserve">", </w:t>
      </w:r>
      <w:bookmarkEnd w:id="102"/>
      <w:bookmarkEnd w:id="103"/>
      <w:r>
        <w:t>Qualcomm Inc.</w:t>
      </w:r>
      <w:bookmarkEnd w:id="104"/>
    </w:p>
    <w:p w14:paraId="5585F3B1" w14:textId="61D38824" w:rsidR="00655891" w:rsidRDefault="00AD5712" w:rsidP="00276EE4">
      <w:pPr>
        <w:pStyle w:val="EX"/>
      </w:pPr>
      <w:bookmarkStart w:id="105" w:name="_Ref47521675"/>
      <w:r w:rsidRPr="00AD5712">
        <w:t>R1-2004965</w:t>
      </w:r>
      <w:r>
        <w:t>, "</w:t>
      </w:r>
      <w:r w:rsidRPr="00AD5712">
        <w:t>LS on UE capability on wideband carrier operation for NR-U</w:t>
      </w:r>
      <w:r>
        <w:t>", RAN WG1</w:t>
      </w:r>
      <w:bookmarkEnd w:id="105"/>
    </w:p>
    <w:bookmarkEnd w:id="0"/>
    <w:p w14:paraId="2C7BC95E" w14:textId="77777777" w:rsidR="00080512" w:rsidRDefault="00080512"/>
    <w:sectPr w:rsidR="00080512"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D240D7" w14:textId="77777777" w:rsidR="00DD215B" w:rsidRDefault="00DD215B">
      <w:r>
        <w:separator/>
      </w:r>
    </w:p>
  </w:endnote>
  <w:endnote w:type="continuationSeparator" w:id="0">
    <w:p w14:paraId="40278C03" w14:textId="77777777" w:rsidR="00DD215B" w:rsidRDefault="00DD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7A9FC" w14:textId="77777777" w:rsidR="00DD215B" w:rsidRDefault="00DD215B">
      <w:r>
        <w:separator/>
      </w:r>
    </w:p>
  </w:footnote>
  <w:footnote w:type="continuationSeparator" w:id="0">
    <w:p w14:paraId="2DE60DC7" w14:textId="77777777" w:rsidR="00DD215B" w:rsidRDefault="00DD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3D"/>
    <w:rsid w:val="00007D52"/>
    <w:rsid w:val="00031ACB"/>
    <w:rsid w:val="00033397"/>
    <w:rsid w:val="00040095"/>
    <w:rsid w:val="00051834"/>
    <w:rsid w:val="00054A22"/>
    <w:rsid w:val="00062023"/>
    <w:rsid w:val="000644EB"/>
    <w:rsid w:val="000655A6"/>
    <w:rsid w:val="0007374F"/>
    <w:rsid w:val="000741FE"/>
    <w:rsid w:val="00075997"/>
    <w:rsid w:val="00080512"/>
    <w:rsid w:val="00087C63"/>
    <w:rsid w:val="000A365D"/>
    <w:rsid w:val="000A6269"/>
    <w:rsid w:val="000A68F3"/>
    <w:rsid w:val="000B1FA3"/>
    <w:rsid w:val="000B3353"/>
    <w:rsid w:val="000C47C3"/>
    <w:rsid w:val="000C7305"/>
    <w:rsid w:val="000D2064"/>
    <w:rsid w:val="000D2998"/>
    <w:rsid w:val="000D58AB"/>
    <w:rsid w:val="000D5C14"/>
    <w:rsid w:val="000E278A"/>
    <w:rsid w:val="000E4B59"/>
    <w:rsid w:val="001018E4"/>
    <w:rsid w:val="00104BC6"/>
    <w:rsid w:val="00112DB5"/>
    <w:rsid w:val="00114E2C"/>
    <w:rsid w:val="001247AA"/>
    <w:rsid w:val="001265D9"/>
    <w:rsid w:val="00126CA9"/>
    <w:rsid w:val="001300D2"/>
    <w:rsid w:val="00132538"/>
    <w:rsid w:val="00133525"/>
    <w:rsid w:val="001357DC"/>
    <w:rsid w:val="001416B7"/>
    <w:rsid w:val="001431B5"/>
    <w:rsid w:val="001462A8"/>
    <w:rsid w:val="00164AF9"/>
    <w:rsid w:val="00165EE6"/>
    <w:rsid w:val="001729FA"/>
    <w:rsid w:val="00182CE6"/>
    <w:rsid w:val="00194772"/>
    <w:rsid w:val="001A074C"/>
    <w:rsid w:val="001A4C42"/>
    <w:rsid w:val="001B4D3F"/>
    <w:rsid w:val="001C21C3"/>
    <w:rsid w:val="001D02C2"/>
    <w:rsid w:val="001E4F49"/>
    <w:rsid w:val="001E6EB2"/>
    <w:rsid w:val="001E732B"/>
    <w:rsid w:val="001F0C1D"/>
    <w:rsid w:val="001F1132"/>
    <w:rsid w:val="001F168B"/>
    <w:rsid w:val="001F1EBD"/>
    <w:rsid w:val="00212AB3"/>
    <w:rsid w:val="00212BAE"/>
    <w:rsid w:val="00230DA7"/>
    <w:rsid w:val="00231873"/>
    <w:rsid w:val="002347A2"/>
    <w:rsid w:val="002427D9"/>
    <w:rsid w:val="00247926"/>
    <w:rsid w:val="00250F32"/>
    <w:rsid w:val="0025584B"/>
    <w:rsid w:val="00255BF5"/>
    <w:rsid w:val="002634B7"/>
    <w:rsid w:val="002675F0"/>
    <w:rsid w:val="00276EE4"/>
    <w:rsid w:val="00294E47"/>
    <w:rsid w:val="002A133B"/>
    <w:rsid w:val="002A52AA"/>
    <w:rsid w:val="002A571F"/>
    <w:rsid w:val="002B6339"/>
    <w:rsid w:val="002E00EE"/>
    <w:rsid w:val="002E555B"/>
    <w:rsid w:val="002F340B"/>
    <w:rsid w:val="002F6B48"/>
    <w:rsid w:val="00314FF2"/>
    <w:rsid w:val="003172DC"/>
    <w:rsid w:val="003251B9"/>
    <w:rsid w:val="00330A27"/>
    <w:rsid w:val="00331EE3"/>
    <w:rsid w:val="0034052F"/>
    <w:rsid w:val="0034070F"/>
    <w:rsid w:val="0035462D"/>
    <w:rsid w:val="00355119"/>
    <w:rsid w:val="003735A2"/>
    <w:rsid w:val="003765B8"/>
    <w:rsid w:val="0037777C"/>
    <w:rsid w:val="003A0483"/>
    <w:rsid w:val="003A76CF"/>
    <w:rsid w:val="003B57B3"/>
    <w:rsid w:val="003C3971"/>
    <w:rsid w:val="003E2F3F"/>
    <w:rsid w:val="003E7753"/>
    <w:rsid w:val="00405DE0"/>
    <w:rsid w:val="0040718D"/>
    <w:rsid w:val="00423334"/>
    <w:rsid w:val="00425DC6"/>
    <w:rsid w:val="004345EC"/>
    <w:rsid w:val="00434669"/>
    <w:rsid w:val="00436007"/>
    <w:rsid w:val="004404A5"/>
    <w:rsid w:val="00441776"/>
    <w:rsid w:val="00447857"/>
    <w:rsid w:val="004516C7"/>
    <w:rsid w:val="004826A9"/>
    <w:rsid w:val="00494877"/>
    <w:rsid w:val="004B22A4"/>
    <w:rsid w:val="004B3064"/>
    <w:rsid w:val="004B5392"/>
    <w:rsid w:val="004C1601"/>
    <w:rsid w:val="004D3578"/>
    <w:rsid w:val="004E213A"/>
    <w:rsid w:val="004F0988"/>
    <w:rsid w:val="004F2142"/>
    <w:rsid w:val="004F3340"/>
    <w:rsid w:val="004F3E3D"/>
    <w:rsid w:val="004F3FC3"/>
    <w:rsid w:val="005013E5"/>
    <w:rsid w:val="00515AE4"/>
    <w:rsid w:val="00522A94"/>
    <w:rsid w:val="0053388B"/>
    <w:rsid w:val="00535773"/>
    <w:rsid w:val="00543E6C"/>
    <w:rsid w:val="005441F6"/>
    <w:rsid w:val="00551363"/>
    <w:rsid w:val="005532C0"/>
    <w:rsid w:val="005619F8"/>
    <w:rsid w:val="0056236F"/>
    <w:rsid w:val="00565087"/>
    <w:rsid w:val="00571C84"/>
    <w:rsid w:val="00572E14"/>
    <w:rsid w:val="00592192"/>
    <w:rsid w:val="005973BE"/>
    <w:rsid w:val="005A093B"/>
    <w:rsid w:val="005A3830"/>
    <w:rsid w:val="005A5986"/>
    <w:rsid w:val="005B0B43"/>
    <w:rsid w:val="005C5495"/>
    <w:rsid w:val="005C63FF"/>
    <w:rsid w:val="005D1F6E"/>
    <w:rsid w:val="005D2E01"/>
    <w:rsid w:val="005D4385"/>
    <w:rsid w:val="005D7526"/>
    <w:rsid w:val="005E587F"/>
    <w:rsid w:val="005E69AE"/>
    <w:rsid w:val="005F529C"/>
    <w:rsid w:val="005F5987"/>
    <w:rsid w:val="00602A59"/>
    <w:rsid w:val="00602AEA"/>
    <w:rsid w:val="00604EFF"/>
    <w:rsid w:val="00607E3C"/>
    <w:rsid w:val="00612B57"/>
    <w:rsid w:val="00614FDF"/>
    <w:rsid w:val="00615F41"/>
    <w:rsid w:val="00623A42"/>
    <w:rsid w:val="006246A7"/>
    <w:rsid w:val="0062595A"/>
    <w:rsid w:val="0063543D"/>
    <w:rsid w:val="00647114"/>
    <w:rsid w:val="006518DA"/>
    <w:rsid w:val="00654787"/>
    <w:rsid w:val="00655891"/>
    <w:rsid w:val="00667164"/>
    <w:rsid w:val="00690481"/>
    <w:rsid w:val="006915D7"/>
    <w:rsid w:val="006A323F"/>
    <w:rsid w:val="006A6BD0"/>
    <w:rsid w:val="006B30D0"/>
    <w:rsid w:val="006C3D95"/>
    <w:rsid w:val="006E3C1C"/>
    <w:rsid w:val="006E3DB1"/>
    <w:rsid w:val="006E5C86"/>
    <w:rsid w:val="006E73A3"/>
    <w:rsid w:val="00706528"/>
    <w:rsid w:val="007071A1"/>
    <w:rsid w:val="0071280F"/>
    <w:rsid w:val="00712A2B"/>
    <w:rsid w:val="00713C44"/>
    <w:rsid w:val="007317A7"/>
    <w:rsid w:val="00734A5B"/>
    <w:rsid w:val="0074026F"/>
    <w:rsid w:val="007429F6"/>
    <w:rsid w:val="00744E76"/>
    <w:rsid w:val="00745D32"/>
    <w:rsid w:val="007469C7"/>
    <w:rsid w:val="00752198"/>
    <w:rsid w:val="00752CCE"/>
    <w:rsid w:val="00753881"/>
    <w:rsid w:val="00756E85"/>
    <w:rsid w:val="007634A5"/>
    <w:rsid w:val="00774DA4"/>
    <w:rsid w:val="00777DE6"/>
    <w:rsid w:val="00781F0F"/>
    <w:rsid w:val="00782EF3"/>
    <w:rsid w:val="00793DF9"/>
    <w:rsid w:val="00795206"/>
    <w:rsid w:val="007B56DB"/>
    <w:rsid w:val="007B600E"/>
    <w:rsid w:val="007E106F"/>
    <w:rsid w:val="007E778F"/>
    <w:rsid w:val="007F0F4A"/>
    <w:rsid w:val="007F27A5"/>
    <w:rsid w:val="0080104E"/>
    <w:rsid w:val="008028A4"/>
    <w:rsid w:val="00803BF8"/>
    <w:rsid w:val="00815191"/>
    <w:rsid w:val="00816B06"/>
    <w:rsid w:val="00820B25"/>
    <w:rsid w:val="0082139C"/>
    <w:rsid w:val="00830747"/>
    <w:rsid w:val="008330B3"/>
    <w:rsid w:val="00855D88"/>
    <w:rsid w:val="00876725"/>
    <w:rsid w:val="008768CA"/>
    <w:rsid w:val="00887CC4"/>
    <w:rsid w:val="008A00F6"/>
    <w:rsid w:val="008A22DD"/>
    <w:rsid w:val="008B1DED"/>
    <w:rsid w:val="008B5422"/>
    <w:rsid w:val="008C384C"/>
    <w:rsid w:val="008D07EC"/>
    <w:rsid w:val="008D3B0B"/>
    <w:rsid w:val="008D4A90"/>
    <w:rsid w:val="008E1DFC"/>
    <w:rsid w:val="008E3F25"/>
    <w:rsid w:val="008E7986"/>
    <w:rsid w:val="008E7A16"/>
    <w:rsid w:val="0090271F"/>
    <w:rsid w:val="00902E23"/>
    <w:rsid w:val="009114D7"/>
    <w:rsid w:val="0091348E"/>
    <w:rsid w:val="00917CCB"/>
    <w:rsid w:val="00942EC2"/>
    <w:rsid w:val="009767A4"/>
    <w:rsid w:val="00997130"/>
    <w:rsid w:val="00997C58"/>
    <w:rsid w:val="009B0E31"/>
    <w:rsid w:val="009B2322"/>
    <w:rsid w:val="009F0E8D"/>
    <w:rsid w:val="009F37B7"/>
    <w:rsid w:val="009F5E43"/>
    <w:rsid w:val="009F6A53"/>
    <w:rsid w:val="00A10F02"/>
    <w:rsid w:val="00A164B4"/>
    <w:rsid w:val="00A17802"/>
    <w:rsid w:val="00A26956"/>
    <w:rsid w:val="00A41E85"/>
    <w:rsid w:val="00A53724"/>
    <w:rsid w:val="00A67699"/>
    <w:rsid w:val="00A73129"/>
    <w:rsid w:val="00A817A7"/>
    <w:rsid w:val="00A82346"/>
    <w:rsid w:val="00A826A1"/>
    <w:rsid w:val="00A92BA1"/>
    <w:rsid w:val="00AC6BC6"/>
    <w:rsid w:val="00AC6DB6"/>
    <w:rsid w:val="00AD084F"/>
    <w:rsid w:val="00AD5712"/>
    <w:rsid w:val="00AE3797"/>
    <w:rsid w:val="00AE4140"/>
    <w:rsid w:val="00AF5FF7"/>
    <w:rsid w:val="00B0333C"/>
    <w:rsid w:val="00B132B8"/>
    <w:rsid w:val="00B15449"/>
    <w:rsid w:val="00B169CD"/>
    <w:rsid w:val="00B2039B"/>
    <w:rsid w:val="00B242EC"/>
    <w:rsid w:val="00B2481F"/>
    <w:rsid w:val="00B27305"/>
    <w:rsid w:val="00B401C8"/>
    <w:rsid w:val="00B46077"/>
    <w:rsid w:val="00B55C02"/>
    <w:rsid w:val="00B64E70"/>
    <w:rsid w:val="00B76B17"/>
    <w:rsid w:val="00B93086"/>
    <w:rsid w:val="00BA19ED"/>
    <w:rsid w:val="00BA300B"/>
    <w:rsid w:val="00BA4B8D"/>
    <w:rsid w:val="00BC0F7D"/>
    <w:rsid w:val="00BC4416"/>
    <w:rsid w:val="00BD401E"/>
    <w:rsid w:val="00BD658E"/>
    <w:rsid w:val="00BE3255"/>
    <w:rsid w:val="00BE414D"/>
    <w:rsid w:val="00BF128E"/>
    <w:rsid w:val="00C0487B"/>
    <w:rsid w:val="00C1496A"/>
    <w:rsid w:val="00C33079"/>
    <w:rsid w:val="00C43826"/>
    <w:rsid w:val="00C45231"/>
    <w:rsid w:val="00C57F61"/>
    <w:rsid w:val="00C65899"/>
    <w:rsid w:val="00C663E3"/>
    <w:rsid w:val="00C724D1"/>
    <w:rsid w:val="00C72678"/>
    <w:rsid w:val="00C72833"/>
    <w:rsid w:val="00C74454"/>
    <w:rsid w:val="00C80F1D"/>
    <w:rsid w:val="00C93F40"/>
    <w:rsid w:val="00CA3D0C"/>
    <w:rsid w:val="00CB76BF"/>
    <w:rsid w:val="00CF20E3"/>
    <w:rsid w:val="00D14C7B"/>
    <w:rsid w:val="00D309CC"/>
    <w:rsid w:val="00D42704"/>
    <w:rsid w:val="00D46431"/>
    <w:rsid w:val="00D56A52"/>
    <w:rsid w:val="00D57972"/>
    <w:rsid w:val="00D675A9"/>
    <w:rsid w:val="00D738D6"/>
    <w:rsid w:val="00D73F34"/>
    <w:rsid w:val="00D755EB"/>
    <w:rsid w:val="00D87E00"/>
    <w:rsid w:val="00D90D8F"/>
    <w:rsid w:val="00D9134D"/>
    <w:rsid w:val="00D92193"/>
    <w:rsid w:val="00D92ACE"/>
    <w:rsid w:val="00D9381C"/>
    <w:rsid w:val="00DA7A03"/>
    <w:rsid w:val="00DB1818"/>
    <w:rsid w:val="00DB7CB6"/>
    <w:rsid w:val="00DC2F94"/>
    <w:rsid w:val="00DC309B"/>
    <w:rsid w:val="00DC4DA2"/>
    <w:rsid w:val="00DC6353"/>
    <w:rsid w:val="00DD215B"/>
    <w:rsid w:val="00DD275E"/>
    <w:rsid w:val="00DD4C17"/>
    <w:rsid w:val="00DE7963"/>
    <w:rsid w:val="00DE7EB0"/>
    <w:rsid w:val="00DF2B1F"/>
    <w:rsid w:val="00DF6189"/>
    <w:rsid w:val="00DF62CD"/>
    <w:rsid w:val="00E16509"/>
    <w:rsid w:val="00E275EE"/>
    <w:rsid w:val="00E44582"/>
    <w:rsid w:val="00E477FA"/>
    <w:rsid w:val="00E47D65"/>
    <w:rsid w:val="00E52814"/>
    <w:rsid w:val="00E71789"/>
    <w:rsid w:val="00E72324"/>
    <w:rsid w:val="00E72ABE"/>
    <w:rsid w:val="00E77645"/>
    <w:rsid w:val="00E874B5"/>
    <w:rsid w:val="00EA1F10"/>
    <w:rsid w:val="00EB7A00"/>
    <w:rsid w:val="00EC2046"/>
    <w:rsid w:val="00EC4A25"/>
    <w:rsid w:val="00EE0A7F"/>
    <w:rsid w:val="00EE271A"/>
    <w:rsid w:val="00EE40A1"/>
    <w:rsid w:val="00EE5AA7"/>
    <w:rsid w:val="00EE7E5C"/>
    <w:rsid w:val="00F01FD9"/>
    <w:rsid w:val="00F025A2"/>
    <w:rsid w:val="00F04712"/>
    <w:rsid w:val="00F11A80"/>
    <w:rsid w:val="00F12047"/>
    <w:rsid w:val="00F210B3"/>
    <w:rsid w:val="00F21311"/>
    <w:rsid w:val="00F22EC7"/>
    <w:rsid w:val="00F325C8"/>
    <w:rsid w:val="00F4314B"/>
    <w:rsid w:val="00F62AEB"/>
    <w:rsid w:val="00F63457"/>
    <w:rsid w:val="00F653B8"/>
    <w:rsid w:val="00F70647"/>
    <w:rsid w:val="00F8674C"/>
    <w:rsid w:val="00F907DC"/>
    <w:rsid w:val="00F93F26"/>
    <w:rsid w:val="00FA1266"/>
    <w:rsid w:val="00FA442A"/>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 w:type="character" w:styleId="CommentReference">
    <w:name w:val="annotation reference"/>
    <w:basedOn w:val="DefaultParagraphFont"/>
    <w:rsid w:val="00816B06"/>
    <w:rPr>
      <w:sz w:val="16"/>
      <w:szCs w:val="16"/>
    </w:rPr>
  </w:style>
  <w:style w:type="paragraph" w:styleId="CommentText">
    <w:name w:val="annotation text"/>
    <w:basedOn w:val="Normal"/>
    <w:link w:val="CommentTextChar"/>
    <w:rsid w:val="00816B06"/>
  </w:style>
  <w:style w:type="character" w:customStyle="1" w:styleId="CommentTextChar">
    <w:name w:val="Comment Text Char"/>
    <w:basedOn w:val="DefaultParagraphFont"/>
    <w:link w:val="CommentText"/>
    <w:rsid w:val="00816B06"/>
    <w:rPr>
      <w:lang w:eastAsia="en-US"/>
    </w:rPr>
  </w:style>
  <w:style w:type="paragraph" w:styleId="CommentSubject">
    <w:name w:val="annotation subject"/>
    <w:basedOn w:val="CommentText"/>
    <w:next w:val="CommentText"/>
    <w:link w:val="CommentSubjectChar"/>
    <w:rsid w:val="00816B06"/>
    <w:rPr>
      <w:b/>
      <w:bCs/>
    </w:rPr>
  </w:style>
  <w:style w:type="character" w:customStyle="1" w:styleId="CommentSubjectChar">
    <w:name w:val="Comment Subject Char"/>
    <w:basedOn w:val="CommentTextChar"/>
    <w:link w:val="CommentSubject"/>
    <w:rsid w:val="00816B06"/>
    <w:rPr>
      <w:b/>
      <w:bCs/>
      <w:lang w:eastAsia="en-US"/>
    </w:rPr>
  </w:style>
  <w:style w:type="character" w:customStyle="1" w:styleId="TALCar">
    <w:name w:val="TAL Car"/>
    <w:basedOn w:val="DefaultParagraphFont"/>
    <w:link w:val="TAL"/>
    <w:qFormat/>
    <w:locked/>
    <w:rsid w:val="00654787"/>
    <w:rPr>
      <w:rFonts w:ascii="Arial" w:hAnsi="Arial"/>
      <w:sz w:val="18"/>
      <w:lang w:eastAsia="en-US"/>
    </w:rPr>
  </w:style>
  <w:style w:type="character" w:customStyle="1" w:styleId="TANChar">
    <w:name w:val="TAN Char"/>
    <w:link w:val="TAN"/>
    <w:rsid w:val="0065478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5660">
      <w:bodyDiv w:val="1"/>
      <w:marLeft w:val="0"/>
      <w:marRight w:val="0"/>
      <w:marTop w:val="0"/>
      <w:marBottom w:val="0"/>
      <w:divBdr>
        <w:top w:val="none" w:sz="0" w:space="0" w:color="auto"/>
        <w:left w:val="none" w:sz="0" w:space="0" w:color="auto"/>
        <w:bottom w:val="none" w:sz="0" w:space="0" w:color="auto"/>
        <w:right w:val="none" w:sz="0" w:space="0" w:color="auto"/>
      </w:divBdr>
    </w:div>
    <w:div w:id="108742718">
      <w:bodyDiv w:val="1"/>
      <w:marLeft w:val="0"/>
      <w:marRight w:val="0"/>
      <w:marTop w:val="0"/>
      <w:marBottom w:val="0"/>
      <w:divBdr>
        <w:top w:val="none" w:sz="0" w:space="0" w:color="auto"/>
        <w:left w:val="none" w:sz="0" w:space="0" w:color="auto"/>
        <w:bottom w:val="none" w:sz="0" w:space="0" w:color="auto"/>
        <w:right w:val="none" w:sz="0" w:space="0" w:color="auto"/>
      </w:divBdr>
    </w:div>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790172281">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27441294">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D930B-B480-BD4B-A165-8FEF52092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328</TotalTime>
  <Pages>5</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63</cp:revision>
  <cp:lastPrinted>2019-02-25T11:05:00Z</cp:lastPrinted>
  <dcterms:created xsi:type="dcterms:W3CDTF">2020-10-09T15:24:00Z</dcterms:created>
  <dcterms:modified xsi:type="dcterms:W3CDTF">2020-10-23T19:40:00Z</dcterms:modified>
  <cp:category/>
</cp:coreProperties>
</file>